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Qualified Domestic Relations Order </w:t>
      </w:r>
    </w:p>
    <w:p>
      <w:pPr>
        <w:keepNext w:val="0"/>
        <w:spacing w:after="0" w:line="240" w:lineRule="exact"/>
        <w:ind w:right="0"/>
        <w:jc w:val="both"/>
      </w:pPr>
    </w:p>
    <w:p>
      <w:pPr>
        <w:keepNext w:val="0"/>
        <w:spacing w:before="200" w:after="0" w:line="260" w:lineRule="exact"/>
        <w:ind w:left="720" w:right="0" w:firstLine="0"/>
        <w:jc w:val="left"/>
      </w:pPr>
      <w:r>
        <w:rPr>
          <w:rFonts w:ascii="Times New Roman" w:hAnsi="Times New Roman" w:eastAsia="Times New Roman" w:cs="Times New Roman"/>
          <w:b w:val="0"/>
          <w:sz w:val="24"/>
        </w:rPr>
        <w:t>[case and court information as required in relevant jurisdiction]</w:t>
      </w:r>
    </w:p>
    <w:p>
      <w:pPr>
        <w:keepNext w:val="0"/>
        <w:spacing w:before="120" w:after="0" w:line="260" w:lineRule="exact"/>
        <w:ind w:left="720" w:right="0" w:firstLine="0"/>
        <w:jc w:val="left"/>
      </w:pPr>
      <w:r>
        <w:rPr>
          <w:rFonts w:ascii="Times New Roman" w:hAnsi="Times New Roman" w:eastAsia="Times New Roman" w:cs="Times New Roman"/>
          <w:b/>
          <w:sz w:val="24"/>
        </w:rPr>
        <w:t>QUALIFIED DOMESTIC RELATIONS ORDER</w:t>
      </w:r>
      <w:r>
        <w:rPr>
          <w:rFonts w:ascii="Times New Roman" w:hAnsi="Times New Roman" w:eastAsia="Times New Roman" w:cs="Times New Roman"/>
          <w:sz w:val="24"/>
        </w:rPr>
        <w:br/>
      </w:r>
      <w:r>
        <w:rPr>
          <w:rFonts w:ascii="Times New Roman" w:hAnsi="Times New Roman" w:eastAsia="Times New Roman" w:cs="Times New Roman"/>
          <w:b/>
          <w:sz w:val="24"/>
        </w:rPr>
        <w:t>FOR THE [PLAN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matter comes before the Court in connection with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decree of divorce which relates to the provision of marital property rights under the </w:t>
      </w:r>
      <w:r>
        <w:rPr>
          <w:rFonts w:ascii="Times New Roman" w:hAnsi="Times New Roman" w:eastAsia="Times New Roman" w:cs="Times New Roman"/>
          <w:b w:val="0"/>
          <w:sz w:val="24"/>
        </w:rPr>
        <w:t>Settlement Agreement</w:t>
      </w:r>
      <w:r>
        <w:rPr>
          <w:rFonts w:ascii="Times New Roman" w:hAnsi="Times New Roman" w:eastAsia="Times New Roman" w:cs="Times New Roman"/>
          <w:b w:val="0"/>
          <w:sz w:val="24"/>
        </w:rPr>
        <w:t xml:space="preserve"> incorporated into the </w:t>
      </w:r>
      <w:r>
        <w:rPr>
          <w:rFonts w:ascii="Times New Roman" w:hAnsi="Times New Roman" w:eastAsia="Times New Roman" w:cs="Times New Roman"/>
          <w:b w:val="0"/>
          <w:sz w:val="24"/>
        </w:rPr>
        <w:t>Final Judgment and Decree of Divorce</w:t>
      </w:r>
      <w:r>
        <w:rPr>
          <w:rFonts w:ascii="Times New Roman" w:hAnsi="Times New Roman" w:eastAsia="Times New Roman" w:cs="Times New Roman"/>
          <w:b w:val="0"/>
          <w:sz w:val="24"/>
        </w:rPr>
        <w:t xml:space="preserve"> entered on [date] and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dealing with the right of the Alternate Payee to receive benefits otherwise payable under the [plan name] (together with any successor in interest, the “Plan”) to the Participant. This Order is intended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domestic relations order” (“QDRO”) as such term is defined in the Internal Revenue Code of 1986, as amended (“Code”), and the Employee Retirement Income Security Act of 1974, as amended (“ERISA”).</w:t>
      </w:r>
    </w:p>
    <w:p>
      <w:pPr>
        <w:keepNext w:val="0"/>
        <w:spacing w:before="200" w:after="0" w:line="260" w:lineRule="exact"/>
        <w:ind w:left="1080" w:right="0" w:firstLine="0"/>
        <w:jc w:val="both"/>
      </w:pPr>
      <w:r>
        <w:rPr>
          <w:rFonts w:ascii="Times New Roman" w:hAnsi="Times New Roman" w:eastAsia="Times New Roman" w:cs="Times New Roman"/>
          <w:b w:val="0"/>
          <w:sz w:val="24"/>
        </w:rPr>
        <w:t>IT IS ORDERED, ADJUDGED AND DECREED by the Court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p>
    <w:p>
      <w:pPr>
        <w:keepNext w:val="0"/>
        <w:spacing w:before="60" w:after="0" w:line="260" w:lineRule="exact"/>
        <w:ind w:left="1440" w:right="0" w:firstLine="0"/>
        <w:jc w:val="both"/>
      </w:pPr>
      <w:r>
        <w:rPr>
          <w:rFonts w:ascii="Times New Roman" w:hAnsi="Times New Roman" w:eastAsia="Times New Roman" w:cs="Times New Roman"/>
          <w:b w:val="0"/>
          <w:sz w:val="24"/>
        </w:rPr>
        <w:t>Name: [participant’s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 [participant’s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Date of Birth: </w:t>
      </w:r>
      <w:r>
        <w:rPr>
          <w:rFonts w:ascii="Times New Roman" w:hAnsi="Times New Roman" w:eastAsia="Times New Roman" w:cs="Times New Roman"/>
          <w:b w:val="0"/>
          <w:sz w:val="24"/>
        </w:rPr>
        <w:t>Provided under separate Confidential Addendum.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Social Security Number: </w:t>
      </w:r>
      <w:r>
        <w:rPr>
          <w:rFonts w:ascii="Times New Roman" w:hAnsi="Times New Roman" w:eastAsia="Times New Roman" w:cs="Times New Roman"/>
          <w:b w:val="0"/>
          <w:sz w:val="24"/>
        </w:rPr>
        <w:t>Provided under separate Confidential Addendum.</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Payee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p>
    <w:p>
      <w:pPr>
        <w:keepNext w:val="0"/>
        <w:spacing w:before="60" w:after="0" w:line="260" w:lineRule="exact"/>
        <w:ind w:left="1440" w:right="0" w:firstLine="0"/>
        <w:jc w:val="both"/>
      </w:pPr>
      <w:r>
        <w:rPr>
          <w:rFonts w:ascii="Times New Roman" w:hAnsi="Times New Roman" w:eastAsia="Times New Roman" w:cs="Times New Roman"/>
          <w:b w:val="0"/>
          <w:sz w:val="24"/>
        </w:rPr>
        <w:t>Name: [alternate payee’s name]</w:t>
      </w:r>
    </w:p>
    <w:p>
      <w:pPr>
        <w:keepNext w:val="0"/>
        <w:spacing w:before="200" w:after="0" w:line="260" w:lineRule="exact"/>
        <w:ind w:left="1440" w:right="0" w:firstLine="0"/>
        <w:jc w:val="both"/>
      </w:pPr>
      <w:r>
        <w:rPr>
          <w:rFonts w:ascii="Times New Roman" w:hAnsi="Times New Roman" w:eastAsia="Times New Roman" w:cs="Times New Roman"/>
          <w:b w:val="0"/>
          <w:sz w:val="24"/>
        </w:rPr>
        <w:t>Address: [alternate payee’s address]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Date of Birth: </w:t>
      </w:r>
      <w:r>
        <w:rPr>
          <w:rFonts w:ascii="Times New Roman" w:hAnsi="Times New Roman" w:eastAsia="Times New Roman" w:cs="Times New Roman"/>
          <w:b w:val="0"/>
          <w:sz w:val="24"/>
        </w:rPr>
        <w:t>Provided under separate Confidential Addendum.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Social Security Number: </w:t>
      </w:r>
      <w:r>
        <w:rPr>
          <w:rFonts w:ascii="Times New Roman" w:hAnsi="Times New Roman" w:eastAsia="Times New Roman" w:cs="Times New Roman"/>
          <w:b w:val="0"/>
          <w:sz w:val="24"/>
        </w:rPr>
        <w:t>Provided under separate Confidential Addendum.</w:t>
      </w:r>
    </w:p>
    <w:p>
      <w:pPr>
        <w:keepNext w:val="0"/>
        <w:spacing w:before="200" w:after="0" w:line="260" w:lineRule="exact"/>
        <w:ind w:left="1440" w:right="0" w:firstLine="0"/>
        <w:jc w:val="both"/>
      </w:pPr>
      <w:r>
        <w:rPr>
          <w:rFonts w:ascii="Times New Roman" w:hAnsi="Times New Roman" w:eastAsia="Times New Roman" w:cs="Times New Roman"/>
          <w:b w:val="0"/>
          <w:sz w:val="24"/>
        </w:rPr>
        <w:t>The Alternate Payee is the former spouse of the Participant.</w:t>
      </w:r>
    </w:p>
    <w:p>
      <w:pPr>
        <w:keepNext w:val="0"/>
        <w:spacing w:before="120" w:after="0" w:line="260" w:lineRule="exact"/>
        <w:ind w:left="144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Address Changes.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Participant and the Alternate Payee each shall be responsible for providing the Plan Administrator of the Plan with his or her most current address.</w:t>
      </w:r>
    </w:p>
    <w:p>
      <w:pPr>
        <w:keepNext w:val="0"/>
        <w:spacing w:before="120" w:after="0" w:line="260" w:lineRule="exact"/>
        <w:ind w:left="144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Affected.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plan affected by this Order is the Plan identified above. Any changes in Plan Administrator, Plan Sponsor, or the name of the Plan shall not affect the Alternate Payee’s rights to receive benefits as set forth in this Order. The period to which this Order shall apply commences as of the date of the Final Judgment and Decree of Divorce and ends as of the date all amounts due the Alternate Payee or [his OR her] designated beneficiary, if applicable, have been paid in full.</w:t>
      </w:r>
    </w:p>
    <w:p>
      <w:pPr>
        <w:keepNext w:val="0"/>
        <w:spacing w:before="120" w:after="0" w:line="260" w:lineRule="exact"/>
        <w:ind w:left="144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Order has been entered as part of the [event, e.g., dissolution of the marriage] between the Alternate Payee and the Participant as decreed by this Court under the domestic relations laws of [state].</w:t>
      </w:r>
    </w:p>
    <w:p>
      <w:pPr>
        <w:keepNext w:val="0"/>
        <w:spacing w:before="120" w:after="0" w:line="260" w:lineRule="exact"/>
        <w:ind w:left="144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Payee’s Benefit.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Alternate Payee is awarded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interest equal to the actuarial equivalent of [percentage]% of Participant’s accrued benefit under the Plan as of [date that separate interest is determined, such as the date of divorce], determined in accordance with the Plan’s regular benefit formula (“Alternate Payee’s Benefit”).</w:t>
      </w:r>
    </w:p>
    <w:p>
      <w:pPr>
        <w:keepNext w:val="0"/>
        <w:spacing w:before="120" w:after="0" w:line="260" w:lineRule="exact"/>
        <w:ind w:left="144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Timing and Form of Alternate Payee’s Benefit.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Alternate Payee shall be entitled to receive [his OR her] distribution at any time and in any form permitted under the terms of the Plan,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lump sum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life annuity payable over the Alternate Payee’s lifetime; however, under no circumstance may the Alternate Payee elect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and survivor annuity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spouse as [his OR her] joint annuitant. Pursuant to Code § 414(p)(4) and ERISA § 206(d)(3)(E), the Alternate Payee’s Benefit shall be paid, or payment shall begin, at the Alternate Payee’s election at any time after the Participant’s earliest commencement date as specified by the Plan (as defined under Code § 414(p)(4)(B) and ERISA § 206(d)(3)(E)(ii)), but in no event later than the date as of which the Participant begins to receive [his OR her] benefits. </w:t>
      </w:r>
    </w:p>
    <w:p>
      <w:pPr>
        <w:keepNext w:val="0"/>
        <w:spacing w:before="200" w:after="0" w:line="260" w:lineRule="exact"/>
        <w:ind w:left="1440" w:right="0" w:firstLine="0"/>
        <w:jc w:val="both"/>
      </w:pPr>
      <w:r>
        <w:rPr>
          <w:rFonts w:ascii="Times New Roman" w:hAnsi="Times New Roman" w:eastAsia="Times New Roman" w:cs="Times New Roman"/>
          <w:b w:val="0"/>
          <w:sz w:val="24"/>
        </w:rPr>
        <w:t>The Alternate Payee’s Benefit shall be based on the Alternate Payee’s life expectancy. Any actuarial adjustment necessary to base the Alternate Payee’s Benefit on the Alternate Payee’s lifetime will be applied to the Alternate Payee’s Benefit. Further, the Alternate Payee’s Benefit shall be subject to early commencement reductions in the event that the Alternate Payee commences benefit payments prior to the Participant’s normal retirement age or prior to the commencement of benefit payments to the Participant.</w:t>
      </w:r>
    </w:p>
    <w:p>
      <w:pPr>
        <w:keepNext w:val="0"/>
        <w:spacing w:before="120" w:after="0" w:line="260" w:lineRule="exact"/>
        <w:ind w:left="144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Retirement Subsidies, COLAs, and Supplements.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Participant retires prior to [his OR her] normal retirement date and is eligible to begin receiving subsidized early retirement benefits under the Plan, the amount of Alternate Payee’s Benefit [will OR will not] be increased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proportionate share of any such early retirement subsidy.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Plan pays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cost-of-living adjustment (COLA) increase, postretirement benefit, or any other ad hoc increase to the Participant, the amount of Alternate Payee’s Benefit [will OR will not] be increased in proportion to the Alternate Payee’s share of the Participant’s benefit.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Plan pays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early retirement supplement to the Participant, the amount of the Alternate Payee’s Benefit [will OR will not] be increased in proportion to the Alternate Payee’s share of the Participant’s benefit.</w:t>
      </w:r>
    </w:p>
    <w:p>
      <w:pPr>
        <w:keepNext w:val="0"/>
        <w:spacing w:before="120" w:after="0" w:line="260" w:lineRule="exact"/>
        <w:ind w:left="144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Death of Participant.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Alternate Payee’s Benefit is calculated over the Alternate Payee’s lifetime. The benefit awarded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is the only benefit awarded to the Alternate Payee under this Order and death of the Participant at any time will not affect the Alternate Payee’s Benefit.</w:t>
      </w:r>
    </w:p>
    <w:p>
      <w:pPr>
        <w:keepNext w:val="0"/>
        <w:spacing w:before="200" w:after="0" w:line="260" w:lineRule="exact"/>
        <w:ind w:left="1440" w:right="0" w:firstLine="0"/>
        <w:jc w:val="both"/>
      </w:pPr>
      <w:r>
        <w:rPr>
          <w:rFonts w:ascii="Times New Roman" w:hAnsi="Times New Roman" w:eastAsia="Times New Roman" w:cs="Times New Roman"/>
          <w:b w:val="0"/>
          <w:sz w:val="24"/>
        </w:rPr>
        <w:t>If the Alternate Payee predeceases the Participant prior to the commencement of benefit payments to the Alternate Payee, the benefit otherwise payable to the Alternate Payee shall revert to the [Participant OR Plan – terms of plan may dictate].</w:t>
      </w:r>
    </w:p>
    <w:p>
      <w:pPr>
        <w:keepNext w:val="0"/>
        <w:spacing w:before="120" w:after="0" w:line="260" w:lineRule="exact"/>
        <w:ind w:left="144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Payee’s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this Order, the Alternate Payee shall have (1) the right to receive the payment(s) called for under Paragraph 6 of this Order, and (2) such rights as are otherwise provided by ERISA and applicable law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Plan.</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Participant’s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herein, the Participant’s rights and interest in the Plan shall continue to be governed exclusively by reference to the terms of the Plan and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Alternate Payee is the spouse or former spouse of the Participant for purposes of Sections 402(</w:t>
      </w:r>
      <w:r>
        <w:rPr>
          <w:rFonts w:ascii="Times New Roman" w:hAnsi="Times New Roman" w:eastAsia="Times New Roman" w:cs="Times New Roman"/>
          <w:b/>
          <w:sz w:val="24"/>
        </w:rPr>
        <w:t>a</w:t>
      </w:r>
      <w:r>
        <w:rPr>
          <w:rFonts w:ascii="Times New Roman" w:hAnsi="Times New Roman" w:eastAsia="Times New Roman" w:cs="Times New Roman"/>
          <w:b w:val="0"/>
          <w:sz w:val="24"/>
        </w:rPr>
        <w:t>)(1) and 72 of the Internal Revenue Code, and, as such, shall be responsible for [his OR her] own federal, state, local, and other taxes attributable to the distribution of the benefit assigned to the Alternate Payee under this Order.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Order shall not be construed as requiring the Plan to (i) provide any type or form of benefit, or any option, not otherwise provided under the Plan; (ii) provide increased benefits determined on the basis of actuarial value; or (iii) provide payment of benefits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Payee which are required to be paid to another Alternate Payee under another order previously determined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QDRO.</w:t>
      </w:r>
    </w:p>
    <w:p>
      <w:pPr>
        <w:keepNext w:val="0"/>
        <w:spacing w:before="120" w:after="0" w:line="260" w:lineRule="exact"/>
        <w:ind w:left="1440" w:right="0" w:firstLine="0"/>
        <w:jc w:val="left"/>
      </w:pPr>
      <w:r>
        <w:rPr>
          <w:rFonts w:ascii="Times New Roman" w:hAnsi="Times New Roman" w:eastAsia="Times New Roman" w:cs="Times New Roman"/>
          <w:b w:val="0"/>
          <w:sz w:val="24"/>
        </w:rPr>
        <w:t>14.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PBGC Provisions.</w:t>
      </w:r>
      <w:r>
        <w:rPr>
          <w:rFonts w:ascii="Times New Roman" w:hAnsi="Times New Roman" w:eastAsia="Times New Roman" w:cs="Times New Roman"/>
          <w:b w:val="0"/>
          <w:sz w:val="24"/>
        </w:rPr>
        <w:t xml:space="preserve"> If, after this Order has been signed by the Court, the Plan is terminated and the Pension Benefit Guaranty Corporation (“PBGC”) (or any successor thereto) is appointed as the Plan’s trustee, the following provisions shall become effective: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upon the Plan’s termination, the PBGC decreases the benefits under the Plan, then any decrease shall be applied by decreasing the Participant’s and the Alternate Payee’s benefits pro rata.</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upon the Plan’s termination, the PBGC increases the benefits under the Plan, then any increase shall be applied by increasing the Participant’s and the Alternate Payee’s benefits pro rata.</w:t>
      </w:r>
    </w:p>
    <w:p>
      <w:pPr>
        <w:keepNext w:val="0"/>
        <w:spacing w:before="120" w:after="0" w:line="260" w:lineRule="exact"/>
        <w:ind w:left="1440" w:right="0" w:firstLine="0"/>
        <w:jc w:val="left"/>
      </w:pPr>
      <w:r>
        <w:rPr>
          <w:rFonts w:ascii="Times New Roman" w:hAnsi="Times New Roman" w:eastAsia="Times New Roman" w:cs="Times New Roman"/>
          <w:b w:val="0"/>
          <w:sz w:val="24"/>
        </w:rPr>
        <w:t>15.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Court Authority.</w:t>
      </w:r>
      <w:r>
        <w:rPr>
          <w:rFonts w:ascii="Times New Roman" w:hAnsi="Times New Roman" w:eastAsia="Times New Roman" w:cs="Times New Roman"/>
          <w:b w:val="0"/>
          <w:sz w:val="24"/>
        </w:rPr>
        <w:t xml:space="preserve"> This Court shall retain jurisdiction to enforce, amend or modify this Order to the extent necessary or appropriate to clarify, establish or maintain the status of this Order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QDRO, and the parties agree to cooperate in making any such necessary or appropriate changes. This Order supersedes all prior Orders and agreements between the parties concerning the division of the benefits under this Plan.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the terms of this Order shall govern.</w:t>
      </w:r>
    </w:p>
    <w:p>
      <w:pPr>
        <w:keepNext w:val="0"/>
        <w:spacing w:before="120" w:after="0" w:line="260" w:lineRule="exact"/>
        <w:ind w:left="1440" w:right="0" w:firstLine="0"/>
        <w:jc w:val="left"/>
      </w:pPr>
      <w:r>
        <w:rPr>
          <w:rFonts w:ascii="Times New Roman" w:hAnsi="Times New Roman" w:eastAsia="Times New Roman" w:cs="Times New Roman"/>
          <w:b w:val="0"/>
          <w:sz w:val="24"/>
        </w:rPr>
        <w:t>16.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Parties.</w:t>
      </w:r>
      <w:r>
        <w:rPr>
          <w:rFonts w:ascii="Times New Roman" w:hAnsi="Times New Roman" w:eastAsia="Times New Roman" w:cs="Times New Roman"/>
          <w:b w:val="0"/>
          <w:sz w:val="24"/>
        </w:rPr>
        <w:t xml:space="preserve"> The parties shall take any and all actions, make any and all elections, and execute and deliver any and all documents necessary to effectuate the provisions of this Order.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SO ORDERED this the [day] day of [month], 20[year].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Judge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