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Quitclaim Deed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(Business Entity to Business Entity)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eCRV number: [number assigned to electronic filing]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DEED TAX DUE: $[total deed tax in dollars and cents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CONSIDERATION, [grantor entity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entity] under the laws of the State of [state of incorporation or organization] (“Grantor”), hereby conveys to [grantee entity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organization] under the laws of [state of incorporation or organization] (“Grantee”), and the Grantee’s successors and assigns, all right, title and interest of the Grantor in and with respect to the real property in [name of county in which property is located] County, Minnesota, legally described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[legal description /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reference];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all hereditaments and appurtenances belonging thereto.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Deed conveys after-acquired title.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here if all or part of the described real property is Registered (Torrens):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applicable statement: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The Seller certifies that the Seller does not know of any wells on the described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well disclosure certificate accompanies this document or has been electronically filed. (If electronically filed, insert WDC number: [WDC number])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I am familiar with the property described in this instrument and I certify that the status and number of wells on the described real property have not changed since the last previously filed well disclosure certificate.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[legal name of grantor entity]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[name of individual signing]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 title of individual signing]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[name of individual signing]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 of individual signing]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instrument was acknowledged before me on [month day, 20__], by [name of signatory], as [title of signatory] of [name of grantor entity],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entity] under the laws of [state of incorporation or organization], Grantor.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 (and Rank): [title, usually “notary public”]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