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Quitclaim Deed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(Individual(s) to Individual(s))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eCRV number: [number assigned to electronic filing]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DEED TAX DUE: $[total deed tax in dollars and cents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VALUABLE CONSIDERATION, [name and marital status of each grantor] (“Grantor,” whether one or more), hereby conveys to [name of each grantee, and if more than one, also insert either "joint tenants" or "tenants in common" depending on how grantees will take title] (“Grantee,” whether one or more), and Grantee’s heirs, representatives and assigns, all right, title and interest of the Grantor in and with respect to the real property in [county in which property is located] County, Minnesota, legally described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[legal description /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reference];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hereditaments and appurtenances belonging thereto.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Deed conveys after-acquired title.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here if all or part of the described real property is Registered (Torrens): 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applicable statement: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The Seller certifies that the Seller does not know of any wells on the described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well disclosure certificate accompanies this document or has been electronically filed. (If electronically filed, insert WDC number: [WDC number])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am familiar with the property described in this instrument and I certify that the status and number of wells on the described real property have not changed since the last previously filed well disclosure certificate.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 of each individual under that individual’s signature line]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acknowledged before me on [month] [day], [year], by [name and marital status for each signatory], Grantor.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(and Rank): [title, usually “notary public”]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[month] [day], [year]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