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Quitclaim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[Names and marital status of grantor(s)]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valuable consideration paid, grant(s) and quit claim(s) all right, title, and interest of grantor(s), to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[Grantee]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whose tax mailing address is 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following described real property: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[description of  land or interest therein and encumbrances, reservations, and exceptions, if any]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Situated in the State of Ohio, County of [county] and [whether real property is located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city, village, or township] of [city, village, or township]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Tax District and Parcel number: [tax district and parcel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Street address of property: [street 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Prior Instrument Reference: [prior instrument reference]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[Name], spouse of the Grantor, releases all rights of dower therein.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 this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Signatures of Grantor(s) and Grantor’s spouse (if any):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OHIO, COUNTY OF [county in which deed is being signed]: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foregoing instrument was acknowledged before me this [day] day of [month], [year] by ___________________________________________________________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(Complete pursuant to ORC Section 147.55-statutory short forms of acknowledgment)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instrument prepared by: 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After recording, return to: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[city]. [state] [zip code]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