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Red Flags Rule Identity Theft Prevention Program</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Identity Theft Prevention Program</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PROGRAM PURPOSE AND APPROVAL</w:t>
      </w:r>
    </w:p>
    <w:p>
      <w:pPr>
        <w:keepNext w:val="0"/>
        <w:spacing w:before="120" w:after="0" w:line="260" w:lineRule="exact"/>
        <w:ind w:left="1080" w:right="0" w:firstLine="0"/>
        <w:jc w:val="left"/>
      </w:pPr>
      <w:r>
        <w:rPr>
          <w:rFonts w:ascii="Times New Roman" w:hAnsi="Times New Roman" w:eastAsia="Times New Roman" w:cs="Times New Roman"/>
          <w:b/>
          <w:sz w:val="24"/>
        </w:rPr>
        <w:t>Overview of the Red Flags Rule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Red Flags Rule, regulations issued by the Federal Trade Commission (FTC), is intended to protect consumers from identity theft. “Red flags” are events that should alert you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of identity theft,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fraud committed or attempted 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identifying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Every “financial institution” and “creditor” with certain types of consumer accounts (defined as “covered accounts”) is required by the Red Flags Rule to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Identity Theft Prevention Program (the “Program”).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Name] </w:t>
      </w:r>
      <w:r>
        <w:rPr>
          <w:rFonts w:ascii="Times New Roman" w:hAnsi="Times New Roman" w:eastAsia="Times New Roman" w:cs="Times New Roman"/>
          <w:b/>
          <w:sz w:val="24"/>
        </w:rPr>
        <w:t xml:space="preserve">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Creditor</w:t>
      </w:r>
      <w:r>
        <w:rPr>
          <w:rFonts w:ascii="Times New Roman" w:hAnsi="Times New Roman" w:eastAsia="Times New Roman" w:cs="Times New Roman"/>
          <w:b w:val="0"/>
          <w:sz w:val="24"/>
        </w:rPr>
        <w:t xml:space="preserve">. [Company name] (“the Company,” “we,” “us,” or “our”) regularly provides credit and deferred payment plans to customers making purchases for their personal and family use. These accounts are “covered accounts” as defined by the Red Flags Rule. The Company has determined that by opening and maintaining covered accounts,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and must comply with the Red Flags Rule.</w:t>
      </w:r>
    </w:p>
    <w:p>
      <w:pPr>
        <w:keepNext w:val="0"/>
        <w:spacing w:before="120" w:after="0" w:line="260" w:lineRule="exact"/>
        <w:ind w:left="1080" w:right="0" w:firstLine="0"/>
        <w:jc w:val="left"/>
      </w:pPr>
      <w:r>
        <w:rPr>
          <w:rFonts w:ascii="Times New Roman" w:hAnsi="Times New Roman" w:eastAsia="Times New Roman" w:cs="Times New Roman"/>
          <w:b/>
          <w:sz w:val="24"/>
        </w:rPr>
        <w:t>Identity Theft Prevention Program</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developed this Program in compliance with the requirements of the Red Flags Rule, including policies and procedures to identify, detect, and respond appropriately to red flags. We took into consideration key factors identified by the Red Flags Rule and tailored this Program to our size, complexity, and the nature of our operations and business.</w:t>
      </w:r>
    </w:p>
    <w:p>
      <w:pPr>
        <w:keepNext w:val="0"/>
        <w:spacing w:before="120" w:after="0" w:line="260" w:lineRule="exact"/>
        <w:ind w:left="1080" w:right="0" w:firstLine="0"/>
        <w:jc w:val="left"/>
      </w:pPr>
      <w:r>
        <w:rPr>
          <w:rFonts w:ascii="Times New Roman" w:hAnsi="Times New Roman" w:eastAsia="Times New Roman" w:cs="Times New Roman"/>
          <w:b/>
          <w:sz w:val="24"/>
        </w:rPr>
        <w:t>Program Approval</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Program was developed with oversight and approval of our board of directors. Our board of directors determined that this Program was appropriate for the Company and passed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approving this Program on [date].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sz w:val="24"/>
        </w:rPr>
        <w:t>Creditor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is defined under the Fair Credit Reporting Act (FCRA) as “… [any] person who regularly extends, renews, or continues credit; any person who regularly arranges for the extension, renewal or continuation of credit; or any assignees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creditor who participates in the decision to extend, renew or continue credit.”</w:t>
      </w:r>
    </w:p>
    <w:p>
      <w:pPr>
        <w:keepNext w:val="0"/>
        <w:spacing w:before="120" w:after="0" w:line="260" w:lineRule="exact"/>
        <w:ind w:left="1080" w:right="0" w:firstLine="0"/>
        <w:jc w:val="left"/>
      </w:pPr>
      <w:r>
        <w:rPr>
          <w:rFonts w:ascii="Times New Roman" w:hAnsi="Times New Roman" w:eastAsia="Times New Roman" w:cs="Times New Roman"/>
          <w:b/>
          <w:sz w:val="24"/>
        </w:rPr>
        <w:t>Credit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granted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defer payment or to incur debts and defer payment or to purchase property or services and defer payment.</w:t>
      </w:r>
    </w:p>
    <w:p>
      <w:pPr>
        <w:keepNext w:val="0"/>
        <w:spacing w:before="120" w:after="0" w:line="260" w:lineRule="exact"/>
        <w:ind w:left="1080" w:right="0" w:firstLine="0"/>
        <w:jc w:val="left"/>
      </w:pPr>
      <w:r>
        <w:rPr>
          <w:rFonts w:ascii="Times New Roman" w:hAnsi="Times New Roman" w:eastAsia="Times New Roman" w:cs="Times New Roman"/>
          <w:b/>
          <w:sz w:val="24"/>
        </w:rPr>
        <w:t>Covered Accounts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accounts that either (1) the Company offers primarily for personal, family, or household purposes and involve multiple payments (such as credit cards, checking, or savings accounts) or (2) involve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foreseeable risk of identity theft to customers or the safety and soundness of the Company. Identity Theft Prevention Programs are only required for these covered accounts.</w:t>
      </w:r>
    </w:p>
    <w:p>
      <w:pPr>
        <w:keepNext w:val="0"/>
        <w:spacing w:before="120" w:after="0" w:line="260" w:lineRule="exact"/>
        <w:ind w:left="1080" w:right="0" w:firstLine="0"/>
        <w:jc w:val="left"/>
      </w:pPr>
      <w:r>
        <w:rPr>
          <w:rFonts w:ascii="Times New Roman" w:hAnsi="Times New Roman" w:eastAsia="Times New Roman" w:cs="Times New Roman"/>
          <w:b/>
          <w:sz w:val="24"/>
        </w:rPr>
        <w:t>Financial Institution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Institution provides consumer Transaction Accounts, which are accounts that allow account holders to make withdrawals for payment or transfer of funds to third parties by telephone transfers, checks, debit cards, or similar means.</w:t>
      </w:r>
    </w:p>
    <w:p>
      <w:pPr>
        <w:keepNext w:val="0"/>
        <w:spacing w:before="120" w:after="0" w:line="260" w:lineRule="exact"/>
        <w:ind w:left="1080" w:right="0" w:firstLine="0"/>
        <w:jc w:val="left"/>
      </w:pPr>
      <w:r>
        <w:rPr>
          <w:rFonts w:ascii="Times New Roman" w:hAnsi="Times New Roman" w:eastAsia="Times New Roman" w:cs="Times New Roman"/>
          <w:b/>
          <w:sz w:val="24"/>
        </w:rPr>
        <w:t>Personally Identifying Information (PII)</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name or number that may be used, alone or in conjunction with any other information, to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person, including name, address, telephone number, Social Security number, date of birth, government issued driver’s license or identification number, alien registration number, government passport number, employer or taxpayer identification number, unique electronic identification number, computer’s Internet Protocol address, or routing code.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PROGRAM IMPLEMENTATION AND ADMINISTRATION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Our Program Administrator</w:t>
      </w:r>
    </w:p>
    <w:p>
      <w:pPr>
        <w:keepNext w:val="0"/>
        <w:spacing w:before="200" w:after="0" w:line="260" w:lineRule="exact"/>
        <w:ind w:left="1440" w:right="0" w:firstLine="0"/>
        <w:jc w:val="both"/>
      </w:pPr>
      <w:r>
        <w:rPr>
          <w:rFonts w:ascii="Times New Roman" w:hAnsi="Times New Roman" w:eastAsia="Times New Roman" w:cs="Times New Roman"/>
          <w:b w:val="0"/>
          <w:sz w:val="24"/>
        </w:rPr>
        <w:t>[Name, title], has been designated as the Program Administrator responsible for the oversight, development, implementation, and administration of our Program. Responsibilities include:</w:t>
      </w:r>
    </w:p>
    <w:p>
      <w:pPr>
        <w:keepNext w:val="0"/>
        <w:spacing w:before="200" w:after="0" w:line="260" w:lineRule="exact"/>
        <w:ind w:left="1800" w:right="0" w:firstLine="0"/>
        <w:jc w:val="both"/>
      </w:pPr>
      <w:r>
        <w:rPr>
          <w:rFonts w:ascii="Times New Roman" w:hAnsi="Times New Roman" w:eastAsia="Times New Roman" w:cs="Times New Roman"/>
          <w:b w:val="0"/>
          <w:sz w:val="24"/>
        </w:rPr>
        <w:t>•</w:t>
        <w:tab/>
        <w:t>Developing or approving our training materials and coordinating the identification of staff who require training</w:t>
      </w:r>
    </w:p>
    <w:p>
      <w:pPr>
        <w:keepNext w:val="0"/>
        <w:spacing w:before="200" w:after="0" w:line="260" w:lineRule="exact"/>
        <w:ind w:left="1800" w:right="0" w:firstLine="0"/>
        <w:jc w:val="both"/>
      </w:pPr>
      <w:r>
        <w:rPr>
          <w:rFonts w:ascii="Times New Roman" w:hAnsi="Times New Roman" w:eastAsia="Times New Roman" w:cs="Times New Roman"/>
          <w:b w:val="0"/>
          <w:sz w:val="24"/>
        </w:rPr>
        <w:t>•</w:t>
        <w:tab/>
        <w:t>Ensuring that employees and our service providers are complying with the Company’s policies and procedures governing the opening and maintenance of covered accounts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Monitoring transaction activity in covered accounts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Ensuring that the Company has responded appropriately to identity theft risks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Testing (or arranging for the testing of) the Company’s security measures and systems designed to prevent identity theft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Department Liaison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department with covered accounts will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responsible for each specific covered account and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to the Program Administrator. The department must also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serve as the department liaison to work with the Program Administrator.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Staff Training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and contractors receive training on the Company’s Identity Theft Prevention Program and applicable departmental procedures within [number of days] from the date of hiring. Our Program Administrator is responsible for maintaining documentation on training,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training materials, the dates training was provided, and the name and title of each attendee.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Providers</w:t>
      </w:r>
    </w:p>
    <w:p>
      <w:pPr>
        <w:keepNext w:val="0"/>
        <w:spacing w:before="120" w:after="0" w:line="260" w:lineRule="exact"/>
        <w:ind w:left="1440" w:right="0" w:firstLine="0"/>
        <w:jc w:val="left"/>
      </w:pPr>
      <w:r>
        <w:rPr>
          <w:rFonts w:ascii="Times New Roman" w:hAnsi="Times New Roman" w:eastAsia="Times New Roman" w:cs="Times New Roman"/>
          <w:b w:val="0"/>
          <w:sz w:val="24"/>
        </w:rPr>
        <w:t>Identify Service Providers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department will identify service providers with access to covered accounts and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with the service providers’ names and contact information in writing to the Program Administrator.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Program Administrator is responsible for creating and maintaining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service providers and their contact information. The list of service providers must be current and reviewed annually.</w:t>
      </w:r>
    </w:p>
    <w:p>
      <w:pPr>
        <w:keepNext w:val="0"/>
        <w:spacing w:before="120" w:after="0" w:line="260" w:lineRule="exact"/>
        <w:ind w:left="1440" w:right="0" w:firstLine="0"/>
        <w:jc w:val="left"/>
      </w:pPr>
      <w:r>
        <w:rPr>
          <w:rFonts w:ascii="Times New Roman" w:hAnsi="Times New Roman" w:eastAsia="Times New Roman" w:cs="Times New Roman"/>
          <w:b w:val="0"/>
          <w:sz w:val="24"/>
        </w:rPr>
        <w:t>Monitor Service Providers</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will exercise appropriate and effective oversight of arrangements with service providers having access to its covered accounts. Third party contractors and service providers are expected to be compliant with federal, state, and local laws and regulations as well as the Company’s Identity Theft Prevent Program. Compliance requirements should be addressed in each contract and require the service provider to:</w:t>
      </w:r>
    </w:p>
    <w:p>
      <w:pPr>
        <w:keepNext w:val="0"/>
        <w:spacing w:before="200" w:after="0" w:line="260" w:lineRule="exact"/>
        <w:ind w:left="2160" w:right="0" w:firstLine="0"/>
        <w:jc w:val="both"/>
      </w:pPr>
      <w:r>
        <w:rPr>
          <w:rFonts w:ascii="Times New Roman" w:hAnsi="Times New Roman" w:eastAsia="Times New Roman" w:cs="Times New Roman"/>
          <w:b w:val="0"/>
          <w:sz w:val="24"/>
        </w:rPr>
        <w:t>•</w:t>
        <w:tab/>
        <w:t>Have identity theft prevention policies and procedures in place</w:t>
      </w:r>
    </w:p>
    <w:p>
      <w:pPr>
        <w:keepNext w:val="0"/>
        <w:spacing w:before="200" w:after="0" w:line="260" w:lineRule="exact"/>
        <w:ind w:left="2160" w:right="0" w:firstLine="0"/>
        <w:jc w:val="both"/>
      </w:pPr>
      <w:r>
        <w:rPr>
          <w:rFonts w:ascii="Times New Roman" w:hAnsi="Times New Roman" w:eastAsia="Times New Roman" w:cs="Times New Roman"/>
          <w:b w:val="0"/>
          <w:sz w:val="24"/>
        </w:rPr>
        <w:t>•</w:t>
        <w:tab/>
        <w:t>Review the Identity Theft Prevention Program and relevant departmental procedures</w:t>
      </w:r>
    </w:p>
    <w:p>
      <w:pPr>
        <w:keepNext w:val="0"/>
        <w:spacing w:before="200" w:after="0" w:line="260" w:lineRule="exact"/>
        <w:ind w:left="2160" w:right="0" w:firstLine="0"/>
        <w:jc w:val="both"/>
      </w:pPr>
      <w:r>
        <w:rPr>
          <w:rFonts w:ascii="Times New Roman" w:hAnsi="Times New Roman" w:eastAsia="Times New Roman" w:cs="Times New Roman"/>
          <w:b w:val="0"/>
          <w:sz w:val="24"/>
        </w:rPr>
        <w:t>•</w:t>
        <w:tab/>
        <w:t>Report detected red flags to our Program Administrator</w:t>
      </w:r>
    </w:p>
    <w:p>
      <w:pPr>
        <w:keepNext w:val="0"/>
        <w:spacing w:before="200" w:after="0" w:line="260" w:lineRule="exact"/>
        <w:ind w:left="2160" w:right="0" w:firstLine="0"/>
        <w:jc w:val="both"/>
      </w:pPr>
      <w:r>
        <w:rPr>
          <w:rFonts w:ascii="Times New Roman" w:hAnsi="Times New Roman" w:eastAsia="Times New Roman" w:cs="Times New Roman"/>
          <w:b w:val="0"/>
          <w:sz w:val="24"/>
        </w:rPr>
        <w:t>•</w:t>
        <w:tab/>
        <w:t>Take appropriate steps to prevent or mitigate identity theft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Updates and Annual Review</w:t>
      </w:r>
    </w:p>
    <w:p>
      <w:pPr>
        <w:keepNext w:val="0"/>
        <w:spacing w:before="120" w:after="0" w:line="260" w:lineRule="exact"/>
        <w:ind w:left="1440" w:right="0" w:firstLine="0"/>
        <w:jc w:val="left"/>
      </w:pPr>
      <w:r>
        <w:rPr>
          <w:rFonts w:ascii="Times New Roman" w:hAnsi="Times New Roman" w:eastAsia="Times New Roman" w:cs="Times New Roman"/>
          <w:b/>
          <w:sz w:val="24"/>
        </w:rPr>
        <w:t>Regular Updates.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process, managed by our Program Administrator, to monitor, assess, and address whether changes to our Program are necessary due to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w:t>
        <w:tab/>
        <w:t>Legal and regulatory requirements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Industry standards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Contracts, including service agreements with third parties (changes that alter the privacy and security related clauses in contracts are reviewed and approved by our legal counsel before they are executed)</w:t>
      </w:r>
    </w:p>
    <w:p>
      <w:pPr>
        <w:keepNext w:val="0"/>
        <w:spacing w:before="200" w:after="0" w:line="260" w:lineRule="exact"/>
        <w:ind w:left="1800" w:right="0" w:firstLine="0"/>
        <w:jc w:val="both"/>
      </w:pPr>
      <w:r>
        <w:rPr>
          <w:rFonts w:ascii="Times New Roman" w:hAnsi="Times New Roman" w:eastAsia="Times New Roman" w:cs="Times New Roman"/>
          <w:b w:val="0"/>
          <w:sz w:val="24"/>
        </w:rPr>
        <w:t>•</w:t>
        <w:tab/>
        <w:t>Our operations and processes, including changes related to our covered accounts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Incidents of identity theft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Technology and procedures for detecting, mitigating, and preventing identity theft</w:t>
      </w:r>
    </w:p>
    <w:p>
      <w:pPr>
        <w:keepNext w:val="0"/>
        <w:spacing w:before="200" w:after="0" w:line="260" w:lineRule="exact"/>
        <w:ind w:left="1800" w:right="0" w:firstLine="0"/>
        <w:jc w:val="both"/>
      </w:pPr>
      <w:r>
        <w:rPr>
          <w:rFonts w:ascii="Times New Roman" w:hAnsi="Times New Roman" w:eastAsia="Times New Roman" w:cs="Times New Roman"/>
          <w:b w:val="0"/>
          <w:sz w:val="24"/>
        </w:rPr>
        <w:t>If required, the Program Administrator will work with our legal counsel to make the appropriate changes to our Program.</w:t>
      </w:r>
    </w:p>
    <w:p>
      <w:pPr>
        <w:keepNext w:val="0"/>
        <w:spacing w:before="120" w:after="0" w:line="260" w:lineRule="exact"/>
        <w:ind w:left="1440" w:right="0" w:firstLine="0"/>
        <w:jc w:val="left"/>
      </w:pPr>
      <w:r>
        <w:rPr>
          <w:rFonts w:ascii="Times New Roman" w:hAnsi="Times New Roman" w:eastAsia="Times New Roman" w:cs="Times New Roman"/>
          <w:b/>
          <w:sz w:val="24"/>
        </w:rPr>
        <w:t>Annual Review.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Our Program and department procedures are reviewed annually by our Program Administrator, with the participation of department staff, our audit committee, and legal counsel. The Program Administrator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annual review report, which includes changes to our Program and the factors considered, such as incidents of identity theft and the type of covered accounts.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Company Data Protection Policies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process in place, managed by the Program Administrator, to review our privacy and security policies and procedures to ensure they are consistent with our Program and department procedures. The Program Administrator is responsible for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copy of the Program documents and related policies and procedures [on the Company’s Intranet].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PROGRAM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Identify Relevant Red Flags</w:t>
      </w:r>
    </w:p>
    <w:p>
      <w:pPr>
        <w:keepNext w:val="0"/>
        <w:spacing w:before="200" w:after="0" w:line="260" w:lineRule="exact"/>
        <w:ind w:left="1440" w:right="0" w:firstLine="0"/>
        <w:jc w:val="both"/>
      </w:pPr>
      <w:r>
        <w:rPr>
          <w:rFonts w:ascii="Times New Roman" w:hAnsi="Times New Roman" w:eastAsia="Times New Roman" w:cs="Times New Roman"/>
          <w:b w:val="0"/>
          <w:sz w:val="24"/>
        </w:rPr>
        <w:t>To identify red flags, we assessed the following risk factors: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types of covered accounts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Our procedures to open or access covered accounts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Previous occurrences of identity theft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[any additional risk factors you assessed]</w:t>
      </w:r>
    </w:p>
    <w:p>
      <w:pPr>
        <w:keepNext w:val="0"/>
        <w:spacing w:before="200" w:after="0" w:line="260" w:lineRule="exact"/>
        <w:ind w:left="1800" w:right="0" w:firstLine="0"/>
        <w:jc w:val="both"/>
      </w:pPr>
      <w:r>
        <w:rPr>
          <w:rFonts w:ascii="Times New Roman" w:hAnsi="Times New Roman" w:eastAsia="Times New Roman" w:cs="Times New Roman"/>
          <w:b w:val="0"/>
          <w:sz w:val="24"/>
        </w:rPr>
        <w:t>Our process included identifying potential red flags from each of the following categories: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Alerts, notifications, or warnings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reporting agency</w:t>
      </w:r>
    </w:p>
    <w:p>
      <w:pPr>
        <w:keepNext w:val="0"/>
        <w:spacing w:before="200" w:after="0" w:line="260" w:lineRule="exact"/>
        <w:ind w:left="1800" w:right="0" w:firstLine="0"/>
        <w:jc w:val="both"/>
      </w:pPr>
      <w:r>
        <w:rPr>
          <w:rFonts w:ascii="Times New Roman" w:hAnsi="Times New Roman" w:eastAsia="Times New Roman" w:cs="Times New Roman"/>
          <w:b w:val="0"/>
          <w:sz w:val="24"/>
        </w:rPr>
        <w:t>•</w:t>
        <w:tab/>
        <w:t>Suspicious documents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Suspicious personal identifying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w:t>
        <w:tab/>
        <w:t>Suspicious account activity</w:t>
      </w:r>
    </w:p>
    <w:p>
      <w:pPr>
        <w:keepNext w:val="0"/>
        <w:spacing w:before="200" w:after="0" w:line="260" w:lineRule="exact"/>
        <w:ind w:left="1800" w:right="0" w:firstLine="0"/>
        <w:jc w:val="both"/>
      </w:pPr>
      <w:r>
        <w:rPr>
          <w:rFonts w:ascii="Times New Roman" w:hAnsi="Times New Roman" w:eastAsia="Times New Roman" w:cs="Times New Roman"/>
          <w:b w:val="0"/>
          <w:sz w:val="24"/>
        </w:rPr>
        <w:t>•</w:t>
        <w:tab/>
        <w:t>Notices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Based on this review of the risk factors, sources, and FTC examples of red flags, we have identified our Company’s red flags, which are listed in the first column of </w:t>
      </w:r>
      <w:r>
        <w:rPr>
          <w:rFonts w:ascii="Times New Roman" w:hAnsi="Times New Roman" w:eastAsia="Times New Roman" w:cs="Times New Roman"/>
          <w:b/>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 Red Flag Identification and Detection Grid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Detecting Red Flags</w:t>
      </w:r>
    </w:p>
    <w:p>
      <w:pPr>
        <w:keepNext w:val="0"/>
        <w:spacing w:before="200" w:after="0" w:line="260" w:lineRule="exact"/>
        <w:ind w:left="1440" w:right="0" w:firstLine="0"/>
        <w:jc w:val="both"/>
      </w:pPr>
      <w:r>
        <w:rPr>
          <w:rFonts w:ascii="Times New Roman" w:hAnsi="Times New Roman" w:eastAsia="Times New Roman" w:cs="Times New Roman"/>
          <w:b w:val="0"/>
          <w:sz w:val="24"/>
        </w:rPr>
        <w:t>We have reviewed our covered accounts, how we open and maintain them, and how to detect red flags that may have occurred. Our detection of these red flags is based on our methods of obtaining information about applicants and verifying it under our [list the title of documents reviewed]. For opening covered accounts, it can include obtaining identifying information about and verifying the identity of the person opening the account by using the Company’s customer identification program (CIP). For existing covered accounts, it can include authenticating customers, monitoring transactions, and verifying the validity of changes of address.</w:t>
      </w:r>
    </w:p>
    <w:p>
      <w:pPr>
        <w:keepNext w:val="0"/>
        <w:spacing w:before="120" w:after="0" w:line="260" w:lineRule="exact"/>
        <w:ind w:left="1800" w:right="0" w:firstLine="0"/>
        <w:jc w:val="left"/>
      </w:pPr>
      <w:r>
        <w:rPr>
          <w:rFonts w:ascii="Times New Roman" w:hAnsi="Times New Roman" w:eastAsia="Times New Roman" w:cs="Times New Roman"/>
          <w:b/>
          <w:sz w:val="24"/>
        </w:rPr>
        <w:t>Applicants.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red flags raised by someone applying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we take the following steps:</w:t>
      </w:r>
    </w:p>
    <w:p>
      <w:pPr>
        <w:keepNext w:val="0"/>
        <w:spacing w:before="200" w:after="0" w:line="260" w:lineRule="exact"/>
        <w:ind w:left="2160" w:right="0" w:firstLine="0"/>
        <w:jc w:val="both"/>
      </w:pPr>
      <w:r>
        <w:rPr>
          <w:rFonts w:ascii="Times New Roman" w:hAnsi="Times New Roman" w:eastAsia="Times New Roman" w:cs="Times New Roman"/>
          <w:b w:val="0"/>
          <w:sz w:val="24"/>
        </w:rPr>
        <w:t>•</w:t>
        <w:tab/>
        <w:t xml:space="preserve">Review the application. We review the applicant’s information collected, e.g., name, date of birth, address,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identification number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Social Security number or Taxpayer Identification Number.</w:t>
      </w:r>
    </w:p>
    <w:p>
      <w:pPr>
        <w:keepNext w:val="0"/>
        <w:spacing w:before="200" w:after="0" w:line="260" w:lineRule="exact"/>
        <w:ind w:left="2160" w:right="0" w:firstLine="0"/>
        <w:jc w:val="both"/>
      </w:pPr>
      <w:r>
        <w:rPr>
          <w:rFonts w:ascii="Times New Roman" w:hAnsi="Times New Roman" w:eastAsia="Times New Roman" w:cs="Times New Roman"/>
          <w:b w:val="0"/>
          <w:sz w:val="24"/>
        </w:rPr>
        <w:t>•</w:t>
        <w:tab/>
        <w:t>Obtain government identification.</w:t>
      </w:r>
    </w:p>
    <w:p>
      <w:pPr>
        <w:keepNext w:val="0"/>
        <w:spacing w:before="200" w:after="0" w:line="260" w:lineRule="exact"/>
        <w:ind w:left="2160" w:right="0" w:firstLine="0"/>
        <w:jc w:val="both"/>
      </w:pPr>
      <w:r>
        <w:rPr>
          <w:rFonts w:ascii="Times New Roman" w:hAnsi="Times New Roman" w:eastAsia="Times New Roman" w:cs="Times New Roman"/>
          <w:b w:val="0"/>
          <w:sz w:val="24"/>
        </w:rPr>
        <w:t>•</w:t>
        <w:tab/>
        <w:t>Seek additional verification.</w:t>
      </w:r>
    </w:p>
    <w:p>
      <w:pPr>
        <w:keepNext w:val="0"/>
        <w:spacing w:before="200" w:after="0" w:line="260" w:lineRule="exact"/>
        <w:ind w:left="2160" w:right="0" w:firstLine="0"/>
        <w:jc w:val="both"/>
      </w:pPr>
      <w:r>
        <w:rPr>
          <w:rFonts w:ascii="Times New Roman" w:hAnsi="Times New Roman" w:eastAsia="Times New Roman" w:cs="Times New Roman"/>
          <w:b w:val="0"/>
          <w:sz w:val="24"/>
        </w:rPr>
        <w:t>•</w:t>
        <w:tab/>
        <w:t>Deny the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w:t>
        <w:tab/>
        <w:t xml:space="preserve">Report to law enforcement. If we find that the applicant is 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identity other than his or her own, we will report it to appropriate local, state, and federal law enforcement.</w:t>
      </w:r>
    </w:p>
    <w:p>
      <w:pPr>
        <w:keepNext w:val="0"/>
        <w:spacing w:before="200" w:after="0" w:line="260" w:lineRule="exact"/>
        <w:ind w:left="2160" w:right="0" w:firstLine="0"/>
        <w:jc w:val="both"/>
      </w:pPr>
      <w:r>
        <w:rPr>
          <w:rFonts w:ascii="Times New Roman" w:hAnsi="Times New Roman" w:eastAsia="Times New Roman" w:cs="Times New Roman"/>
          <w:b w:val="0"/>
          <w:sz w:val="24"/>
        </w:rPr>
        <w:t>•</w:t>
        <w:tab/>
        <w:t>Notify the customer. If we determine PII has been accessed, we will provide notice to customers as required by state law.</w:t>
      </w:r>
    </w:p>
    <w:p>
      <w:pPr>
        <w:keepNext w:val="0"/>
        <w:spacing w:before="120" w:after="0" w:line="260" w:lineRule="exact"/>
        <w:ind w:left="1800" w:right="0" w:firstLine="0"/>
        <w:jc w:val="left"/>
      </w:pPr>
      <w:r>
        <w:rPr>
          <w:rFonts w:ascii="Times New Roman" w:hAnsi="Times New Roman" w:eastAsia="Times New Roman" w:cs="Times New Roman"/>
          <w:b/>
          <w:sz w:val="24"/>
        </w:rPr>
        <w:t>Access Seekers.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red flags raised by someone seeking to access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customer’s account we take the following actions:</w:t>
      </w:r>
    </w:p>
    <w:p>
      <w:pPr>
        <w:keepNext w:val="0"/>
        <w:spacing w:before="200" w:after="0" w:line="260" w:lineRule="exact"/>
        <w:ind w:left="2160" w:right="0" w:firstLine="0"/>
        <w:jc w:val="both"/>
      </w:pPr>
      <w:r>
        <w:rPr>
          <w:rFonts w:ascii="Times New Roman" w:hAnsi="Times New Roman" w:eastAsia="Times New Roman" w:cs="Times New Roman"/>
          <w:b w:val="0"/>
          <w:sz w:val="24"/>
        </w:rPr>
        <w:t>•</w:t>
        <w:tab/>
        <w:t>Monitor account activity.</w:t>
      </w:r>
    </w:p>
    <w:p>
      <w:pPr>
        <w:keepNext w:val="0"/>
        <w:spacing w:before="200" w:after="0" w:line="260" w:lineRule="exact"/>
        <w:ind w:left="2160" w:right="0" w:firstLine="0"/>
        <w:jc w:val="both"/>
      </w:pPr>
      <w:r>
        <w:rPr>
          <w:rFonts w:ascii="Times New Roman" w:hAnsi="Times New Roman" w:eastAsia="Times New Roman" w:cs="Times New Roman"/>
          <w:b w:val="0"/>
          <w:sz w:val="24"/>
        </w:rPr>
        <w:t>•</w:t>
        <w:tab/>
        <w:t>Contact the customer.</w:t>
      </w:r>
    </w:p>
    <w:p>
      <w:pPr>
        <w:keepNext w:val="0"/>
        <w:spacing w:before="200" w:after="0" w:line="260" w:lineRule="exact"/>
        <w:ind w:left="2160" w:right="0" w:firstLine="0"/>
        <w:jc w:val="both"/>
      </w:pPr>
      <w:r>
        <w:rPr>
          <w:rFonts w:ascii="Times New Roman" w:hAnsi="Times New Roman" w:eastAsia="Times New Roman" w:cs="Times New Roman"/>
          <w:b w:val="0"/>
          <w:sz w:val="24"/>
        </w:rPr>
        <w:t>•</w:t>
        <w:tab/>
        <w:t xml:space="preserve">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heightened risk. We will determine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reason that makes it easier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intruder to seek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customer’s PII,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customer’s lost wallet, mail theft,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security incident, or the customer giving account information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imposter pretending to represent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fraudulent website.</w:t>
      </w:r>
    </w:p>
    <w:p>
      <w:pPr>
        <w:keepNext w:val="0"/>
        <w:spacing w:before="200" w:after="0" w:line="260" w:lineRule="exact"/>
        <w:ind w:left="2160" w:right="0" w:firstLine="0"/>
        <w:jc w:val="both"/>
      </w:pPr>
      <w:r>
        <w:rPr>
          <w:rFonts w:ascii="Times New Roman" w:hAnsi="Times New Roman" w:eastAsia="Times New Roman" w:cs="Times New Roman"/>
          <w:b w:val="0"/>
          <w:sz w:val="24"/>
        </w:rPr>
        <w:t>•</w:t>
        <w:tab/>
        <w:t>Check similar accounts. We will review similar accounts with the Company to see if there have been attempts to access them without authorization.</w:t>
      </w:r>
    </w:p>
    <w:p>
      <w:pPr>
        <w:keepNext w:val="0"/>
        <w:spacing w:before="200" w:after="0" w:line="260" w:lineRule="exact"/>
        <w:ind w:left="2160" w:right="0" w:firstLine="0"/>
        <w:jc w:val="both"/>
      </w:pPr>
      <w:r>
        <w:rPr>
          <w:rFonts w:ascii="Times New Roman" w:hAnsi="Times New Roman" w:eastAsia="Times New Roman" w:cs="Times New Roman"/>
          <w:b w:val="0"/>
          <w:sz w:val="24"/>
        </w:rPr>
        <w:t>•</w:t>
        <w:tab/>
        <w:t xml:space="preserve">Collect incident information.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threat to unauthorized account access, we will attempt to collect information such as company contact name, dates and times of activity, name and symbol of securities involved, details of any wire transfer activity, and customer name and account number.</w:t>
      </w:r>
    </w:p>
    <w:p>
      <w:pPr>
        <w:keepNext w:val="0"/>
        <w:spacing w:before="200" w:after="0" w:line="260" w:lineRule="exact"/>
        <w:ind w:left="2160" w:right="0" w:firstLine="0"/>
        <w:jc w:val="both"/>
      </w:pPr>
      <w:r>
        <w:rPr>
          <w:rFonts w:ascii="Times New Roman" w:hAnsi="Times New Roman" w:eastAsia="Times New Roman" w:cs="Times New Roman"/>
          <w:b w:val="0"/>
          <w:sz w:val="24"/>
        </w:rPr>
        <w:t>•</w:t>
        <w:tab/>
        <w:t xml:space="preserve">Report to law enforcement. If we find that the applicant is 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identity other than his or her own, we will report it to appropriate local, state, and federal law enforcement.</w:t>
      </w:r>
    </w:p>
    <w:p>
      <w:pPr>
        <w:keepNext w:val="0"/>
        <w:spacing w:before="200" w:after="0" w:line="260" w:lineRule="exact"/>
        <w:ind w:left="2160" w:right="0" w:firstLine="0"/>
        <w:jc w:val="both"/>
      </w:pPr>
      <w:r>
        <w:rPr>
          <w:rFonts w:ascii="Times New Roman" w:hAnsi="Times New Roman" w:eastAsia="Times New Roman" w:cs="Times New Roman"/>
          <w:b w:val="0"/>
          <w:sz w:val="24"/>
        </w:rPr>
        <w:t>•</w:t>
        <w:tab/>
        <w:t>Notify the customer. If we determine PII has been accessed, we will provide notice to customers as required by federal and state law.</w:t>
      </w:r>
    </w:p>
    <w:p>
      <w:pPr>
        <w:keepNext w:val="0"/>
        <w:spacing w:before="200" w:after="0" w:line="260" w:lineRule="exact"/>
        <w:ind w:left="2160" w:right="0" w:firstLine="0"/>
        <w:jc w:val="both"/>
      </w:pPr>
      <w:r>
        <w:rPr>
          <w:rFonts w:ascii="Times New Roman" w:hAnsi="Times New Roman" w:eastAsia="Times New Roman" w:cs="Times New Roman"/>
          <w:b w:val="0"/>
          <w:sz w:val="24"/>
        </w:rPr>
        <w:t>•</w:t>
        <w:tab/>
        <w:t>Assist the customer in minimizing or mitigating the impact of the identity theft.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Prevent and Mitigate Identity Theft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have reviewed our covered accounts, how we open and allow access to them, and our previous experience with identity theft, as well as new methods of identity theft we have seen or foresee as likely. Based on this assessment, and our review of the requirements of the Red Flags Rule and suggested responses to mitigate identity theft, as well as other sources, we determined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 flag may include one or more of the following, depending on the nature and severity of the risks posed:</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Prohibiting transactions in the covered account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Monitoring activity in the covered account for evidence of identity theft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Contacting the customer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Notifying the affected customer or law enforcement authorities of the possible risks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Changing account access credentials such as passwords and security codes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Closing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account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Reopening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account number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Not opening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account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Not trying to collect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not selling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collector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Determining that no response is warranted under the particular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Update Your Program</w:t>
      </w:r>
    </w:p>
    <w:p>
      <w:pPr>
        <w:keepNext w:val="0"/>
        <w:spacing w:before="200" w:after="0" w:line="260" w:lineRule="exact"/>
        <w:ind w:left="1440" w:right="0" w:firstLine="0"/>
        <w:jc w:val="both"/>
      </w:pPr>
      <w:r>
        <w:rPr>
          <w:rFonts w:ascii="Times New Roman" w:hAnsi="Times New Roman" w:eastAsia="Times New Roman" w:cs="Times New Roman"/>
          <w:b w:val="0"/>
          <w:sz w:val="24"/>
        </w:rPr>
        <w:t>We review our Program annually, in addition to periodic reviews necessary to ensure our Program is current with changes in the risk of identity theft.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 Flag Identification and Detection Grid</w:t>
      </w:r>
    </w:p>
    <w:p>
      <w:pPr>
        <w:keepNext w:val="0"/>
        <w:spacing w:before="200" w:after="0" w:line="260" w:lineRule="exact"/>
        <w:ind w:left="720" w:right="0" w:firstLine="0"/>
        <w:jc w:val="center"/>
      </w:pPr>
      <w:r>
        <w:rPr>
          <w:rFonts w:ascii="Times New Roman" w:hAnsi="Times New Roman" w:eastAsia="Times New Roman" w:cs="Times New Roman"/>
          <w:b w:val="0"/>
          <w:sz w:val="24"/>
        </w:rPr>
        <w:t>[COMPANY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Detection of Identity Theft Red Flags Reporting Form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complete and submit this Form to [the Company’s Program Administrator]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identity theft red flag is detected in the course of operations of the Company. </w:t>
      </w:r>
      <w:r>
        <w:rPr>
          <w:rFonts w:ascii="Times New Roman" w:hAnsi="Times New Roman" w:eastAsia="Times New Roman" w:cs="Times New Roman"/>
          <w:b/>
          <w:sz w:val="24"/>
        </w:rPr>
        <w:t>Red Flags</w:t>
      </w:r>
      <w:r>
        <w:rPr>
          <w:rFonts w:ascii="Times New Roman" w:hAnsi="Times New Roman" w:eastAsia="Times New Roman" w:cs="Times New Roman"/>
          <w:b w:val="0"/>
          <w:sz w:val="24"/>
        </w:rPr>
        <w:t xml:space="preserve"> are warning signs—suspicious patterns or practices or specific activities—of possible identity theft of </w:t>
      </w:r>
      <w:r>
        <w:rPr>
          <w:rFonts w:ascii="Times New Roman" w:hAnsi="Times New Roman" w:eastAsia="Times New Roman" w:cs="Times New Roman"/>
          <w:b/>
          <w:sz w:val="24"/>
        </w:rPr>
        <w:t>Personally Identifiable Information (PII)</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PII refers to any name or number that may be used, alone or in conjunction with other information, to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person, including name, address, telephone number, Social Security number, date of birth, driver’s license number, passport number, taxpayer identification number, Internet Protocol address, or financial account routing code.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Red flag detection reporting is part of the Company’s </w:t>
      </w:r>
      <w:r>
        <w:rPr>
          <w:rFonts w:ascii="Times New Roman" w:hAnsi="Times New Roman" w:eastAsia="Times New Roman" w:cs="Times New Roman"/>
          <w:b/>
          <w:sz w:val="24"/>
        </w:rPr>
        <w:t>Identity Theft Prevention Program (Program)</w:t>
      </w:r>
      <w:r>
        <w:rPr>
          <w:rFonts w:ascii="Times New Roman" w:hAnsi="Times New Roman" w:eastAsia="Times New Roman" w:cs="Times New Roman"/>
          <w:b w:val="0"/>
          <w:sz w:val="24"/>
        </w:rPr>
        <w:t xml:space="preserve">. For more information on red flags, see the Company’s </w:t>
      </w:r>
      <w:r>
        <w:rPr>
          <w:rFonts w:ascii="Times New Roman" w:hAnsi="Times New Roman" w:eastAsia="Times New Roman" w:cs="Times New Roman"/>
          <w:b/>
          <w:sz w:val="24"/>
        </w:rPr>
        <w:t>Red Flags Rule Procedures</w:t>
      </w:r>
      <w:r>
        <w:rPr>
          <w:rFonts w:ascii="Times New Roman" w:hAnsi="Times New Roman" w:eastAsia="Times New Roman" w:cs="Times New Roman"/>
          <w:b w:val="0"/>
          <w:sz w:val="24"/>
        </w:rPr>
        <w:t xml:space="preserve"> document and the links provided on the annual survey form.</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 Flag Type</w:t>
      </w:r>
    </w:p>
    <w:p>
      <w:pPr>
        <w:keepNext w:val="0"/>
        <w:spacing w:before="200" w:after="0" w:line="260" w:lineRule="exact"/>
        <w:ind w:left="1080" w:right="0" w:firstLine="0"/>
        <w:jc w:val="both"/>
      </w:pPr>
      <w:r>
        <w:rPr>
          <w:rFonts w:ascii="Times New Roman" w:hAnsi="Times New Roman" w:eastAsia="Times New Roman" w:cs="Times New Roman"/>
          <w:b w:val="0"/>
          <w:sz w:val="24"/>
        </w:rPr>
        <w:t>□ Alert, Notification, or Warning from Consumer Credit Reporting Agency</w:t>
      </w:r>
    </w:p>
    <w:p>
      <w:pPr>
        <w:keepNext w:val="0"/>
        <w:spacing w:before="200" w:after="0" w:line="260" w:lineRule="exact"/>
        <w:ind w:left="1080" w:right="0" w:firstLine="0"/>
        <w:jc w:val="both"/>
      </w:pPr>
      <w:r>
        <w:rPr>
          <w:rFonts w:ascii="Times New Roman" w:hAnsi="Times New Roman" w:eastAsia="Times New Roman" w:cs="Times New Roman"/>
          <w:b w:val="0"/>
          <w:sz w:val="24"/>
        </w:rPr>
        <w:t>□ Suspicious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Suspicious Identifying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Suspicious Account Activity</w:t>
      </w:r>
    </w:p>
    <w:p>
      <w:pPr>
        <w:keepNext w:val="0"/>
        <w:spacing w:before="200" w:after="0" w:line="260" w:lineRule="exact"/>
        <w:ind w:left="1080" w:right="0" w:firstLine="0"/>
        <w:jc w:val="both"/>
      </w:pPr>
      <w:r>
        <w:rPr>
          <w:rFonts w:ascii="Times New Roman" w:hAnsi="Times New Roman" w:eastAsia="Times New Roman" w:cs="Times New Roman"/>
          <w:b w:val="0"/>
          <w:sz w:val="24"/>
        </w:rPr>
        <w:t>□ Notice from Other Sources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Describe the Red Flag detected and subsequent actions:</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Describe how the red flag was detected and all relevant actions taken by the employee, contractor, or service provider, and/or supervisor(s) involved in the incident and investigation:</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Has this activity been reported to any other person or department within the Company, or to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external agency?</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