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Redemption of Preferred Stock Notice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NOTICE IS HEREBY GIVEN that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and existing under the laws of the State of New York, has called all the outstanding shares of its [identify preferred stock being redeemed, e.g.,  Convertible Preferred Stock] (the “Preferred Stock”) for redemption on [redemption date]  (the “Redemption Date”). Each share of Preferred Stock outstanding on the Redemption Date will be redeemed by the payment in cash to the holder thereof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$[amount] plus $[amount]  in accrued dividends, or $[combined amount of redemption price and accrued dividends] per share (the “Redemption Price”). The Redemption Price will be paid on or after the Redemption Date to the holders of Preferred Stock who surrender stock certificates for redemption to the office of the Transfer Agent for the Preferred Stock, the [name and address of the Transfer Agent].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HOLDERS OF THE PREFERRED STOCK HAVE THE RIGHT ANY TIME ON OR BEFORE [time. e.g., FIVE P.M., EASTERN STANDARD TIME], ON THE REDEMPTION DATE, [DATE], BUT NOT THEREAFTER, TO CONVERT EACH SHARE OF PREFERRED STOCK INTO [CONVERSION RATIO, e.g., two (2)] SHARES OF THE COMPANY’S COMMON STOCK. Preferred Stock certificates for conversion are to be presented to the office of the Transfer Agent for the Preferred Stock, the [name and address of the Transfer Agent]. No fractional shares of the Company’s Common Stock will be issued upon conversion. The Company will issue to each shareholder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fractional share interest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for the amount equal to such fractional share interest multiplied by the fair market value per share of the Company’s Common Stock as of the Redemption Date as determined by the Company’s independent certified public accountants. Shareholders who convert will not be entitled to any dividends on the Preferred Stock in respect of the period [applicable date] to the date of conversion.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[applicable date]  the fair market value of the Company’s Common Stock determined by the Company’s independent certified public accountants was $[appraised fair market value of Common Stock] per share. Therefore, on that date, the market value of the shares of the Company’s Common Stock issuable upon conversion of each share of Preferred Stock (including cash for the fractional interest) was $[amount] which amounts is in excess of the $[Redemption Price] payable upon redemption. SO LONG AS THE MARKET VALUE OF THE COMPANY’S COMMON STOCK IS $[applicable minimum value of Common Stock] OR MORE PER SHARE,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PREFERRED SHAREHOLDER WHO CONVERTS HIS OR HER PREFERRED STOCK WILL RECEIVE COMMON STOCK (INCLUDING CASH FOR THE FRACTIONAL INTEREST)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VALUE GREATER THAN THE REDEMPTION PRICE. As stated above, no conversion may be effected after the Redemption Date.</w:t>
      </w:r>
    </w:p>
    <w:p>
      <w:pPr>
        <w:keepNext w:val="0"/>
        <w:spacing w:before="200" w:after="0" w:line="260" w:lineRule="exact"/>
        <w:ind w:left="360" w:right="0" w:firstLine="0"/>
        <w:jc w:val="both"/>
      </w:pPr>
      <w:r>
        <w:rPr>
          <w:rFonts w:ascii="Times New Roman" w:hAnsi="Times New Roman" w:eastAsia="Times New Roman" w:cs="Times New Roman"/>
          <w:b w:val="0"/>
          <w:sz w:val="24"/>
        </w:rPr>
        <w:t>From and after the Redemption Date, the Preferred Stock will cease to be outstanding and holders thereof will have no rights of any kind with respect thereto other than to receive the Redemption Price without interest.</w:t>
      </w:r>
    </w:p>
    <w:p>
      <w:pPr>
        <w:keepNext w:val="0"/>
        <w:spacing w:before="200" w:after="0" w:line="260" w:lineRule="exact"/>
        <w:ind w:left="360" w:right="0" w:firstLine="0"/>
        <w:jc w:val="both"/>
      </w:pPr>
      <w:r>
        <w:rPr>
          <w:rFonts w:ascii="Times New Roman" w:hAnsi="Times New Roman" w:eastAsia="Times New Roman" w:cs="Times New Roman"/>
          <w:b w:val="0"/>
          <w:sz w:val="24"/>
        </w:rPr>
        <w:t>By Order of the Board of Directors:</w:t>
      </w:r>
    </w:p>
    <w:p>
      <w:pPr>
        <w:keepNext w:val="0"/>
        <w:spacing w:before="6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righ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right"/>
      </w:pPr>
      <w:r>
        <w:rPr>
          <w:rFonts w:ascii="Times New Roman" w:hAnsi="Times New Roman" w:eastAsia="Times New Roman" w:cs="Times New Roman"/>
          <w:b w:val="0"/>
          <w:sz w:val="24"/>
        </w:rPr>
        <w:t>[Name of authorized representative]</w:t>
      </w:r>
    </w:p>
    <w:p>
      <w:pPr>
        <w:keepNext w:val="0"/>
        <w:spacing w:before="120" w:after="0" w:line="260" w:lineRule="exact"/>
        <w:ind w:left="360" w:right="0" w:firstLine="0"/>
        <w:jc w:val="left"/>
      </w:pPr>
      <w:r>
        <w:rPr>
          <w:rFonts w:ascii="Times New Roman" w:hAnsi="Times New Roman" w:eastAsia="Times New Roman" w:cs="Times New Roman"/>
          <w:b w:val="0"/>
          <w:sz w:val="24"/>
        </w:rPr>
        <w:t>Attested:</w:t>
      </w:r>
    </w:p>
    <w:p>
      <w:pPr>
        <w:keepNext w:val="0"/>
        <w:spacing w:before="120" w:after="0" w:line="260" w:lineRule="exact"/>
        <w:ind w:left="360" w:right="0" w:firstLine="0"/>
        <w:jc w:val="right"/>
      </w:pPr>
      <w:r>
        <w:rPr>
          <w:rFonts w:ascii="Times New Roman" w:hAnsi="Times New Roman" w:eastAsia="Times New Roman" w:cs="Times New Roman"/>
          <w:b w:val="0"/>
          <w:sz w:val="24"/>
        </w:rPr>
        <w:t>[Name of secretary]</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Corporate Seal</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