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Release of Intellectual Property Security Interests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RELEASE OF INTELLECTUAL PROPERTY SECURITY INTERESTS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undersigned, [name of collateral agent] has hitherto entered into security agreements with [name of grantor] ("Grantor"), whereby Grantor granted security interests in certain of its intellectual property to the undersigned, to wit: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Copyright Security Agreement [recorded at the United States Copyright Office at volume [volume number], page [page number] on [date]],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Patent Security Agreement [recorded at the United States Patent and Trademark Office at reel [reel number], frame [frame number] on [date]], and (iii)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Trademark Security Agreement [recorded at the United States Patent and Copyright Office at reel [reel number], frame [frame number] on [date]] (collectively the "IP Agreements");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undersigned wishes to release and reassign any and all right, title and interest in the collateral covered by the IP Agreements (collectively, the "Intellectual Property Collateral").</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for good and valuable consideration, the receipt of which is hereby acknowledged, the undersigned agrees: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Intellectual Property Collateral includes, without limitation, all of the undersigned's right, title and interest of every kind and nature as of the date hereof in any and all of Borrower's: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patents, patent applications, patent rights, and any other governmental indicia of invention ownership, including the patents and patent rights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together with inventions and improvements described and claimed therein and all reissues, divisions, continuations, continuations-in-part, renewals, extensions, and reexaminations thereof and comparable interests therein;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registered or unregistered trademarks, service marks, trade and brand names, logos, trade dress, design rights, and other comparable designations of source, sponsorship, association or origin, including the trademark registrations and applications listed in Schedule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hereto, along with the goodwill associated with the use thereof and symbolized thereby, and all renewals and extensions thereof;</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registered or unregistered copyrights, copyright applications and registrations, comparable protections in works of authorship, whether published or unpublished, and mask works, including the copyright registrations and applications set forth in Schedule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hereto;</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know-how, trade secrets, manufacturing and production processes and techniques, inventions, research and development information, technical, business, financial and marketing plans, data, and lists, and comparable confidential and proprietary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licenses and other agreements pursuant to which Borrower is granted, or grants,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or other right, whether exclusive or non-exclusive, to (i) use or develop the foregoing, (ii) receive royalties, income, or other payments or compensation with respect thereto, or (iii) exercise any other rights with respect thereto, and any and all amounts now or hereafter due or payable with respect to the foregoing; and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legal or equitable claims or causes of action (including for infringement) with respect to the foregoing, whensoever having occurred or occurring.</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undersigned, for itself and its successors, representatives, agents, and assigns, hereby terminates, releases and discharges its security interests in and to the Intellectual Property Collateral, and any other rights or interests it may have with respect thereto, and reassigns to Borrower any and all such rights and interests.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has caused this release to be duly executed and delivered by its officer thereunto duly authorized on [execution date].</w:t>
      </w:r>
    </w:p>
    <w:p>
      <w:pPr>
        <w:keepNext w:val="0"/>
        <w:spacing w:before="120" w:after="0" w:line="260" w:lineRule="exact"/>
        <w:ind w:left="360" w:right="0" w:firstLine="0"/>
        <w:jc w:val="left"/>
      </w:pPr>
      <w:r>
        <w:rPr>
          <w:rFonts w:ascii="Times New Roman" w:hAnsi="Times New Roman" w:eastAsia="Times New Roman" w:cs="Times New Roman"/>
          <w:b w:val="0"/>
          <w:sz w:val="24"/>
        </w:rPr>
        <w:t>[name of collateral agent]</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Patent Registrations and Applications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Trademark Registrations and Applications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SCHEDULE 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Copyright Registrations and Applications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