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Religious Accommodation Policy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Company is committed to providing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work environment that is respectful of the religious beliefs of all its employees. Consistent with this commitment, the Company will make good faith efforts to provide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reasonable religious accommodation to employees whose sincerely held religious beliefs conflict with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Company employment requirement, unless such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accommodation would create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undue hardship for the Company.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Reasonable Religious Accommodation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reasonable accommodation in the workplace allows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employee to observe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sincerely held religious practice or belief, as long as it does not create undue hardship for the Company. The Company will provide reasonable accommodations to employees to observe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sincerely held religious belief under Title VII of the Civil Rights Act of 1964 and/or the Colorado Anti-discrimination Act (CADA), provided that the Company has notice of their need for religious accommodations.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 xml:space="preserve">Requesting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Religious Accommodation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If you feel you need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accommodation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sincerely held religious belief, then notify the Human Resources Department. The request should include the following information: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description of the requested accommodation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The reason for the requested accommodation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Determinations of Accommodation Requests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Company makes determinations concerning religious accommodation requests on case-by- case basis and relies on fact-specific inquiries to determine if it will provide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reasonable accommodation. Your supervisor will notify you of the Company’s determination of your request.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Retaliation is Prohibited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Company prohibits retaliation against employees who request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religious accommodation or who participate in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approved accommodation.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employee who violates this anti-retaliation provision may be subject to discipline, up to and including termination.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ACKNOWLEDGEMENT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acknowledge that I have received, read, understand, and will abide by the Company’s Religious Accommodation Policy. I understand that this policy is not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employment contract and does not change my status as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at-will employee.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Signature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Printed Name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