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UNITED STATES PATENT AND TRADEMARK OFFICE</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200" w:after="0" w:line="260" w:lineRule="exact"/>
        <w:ind w:left="720" w:right="0" w:firstLine="0"/>
        <w:jc w:val="center"/>
      </w:pPr>
      <w:r>
        <w:rPr>
          <w:rFonts w:ascii="Times New Roman" w:hAnsi="Times New Roman" w:eastAsia="Times New Roman" w:cs="Times New Roman"/>
          <w:b/>
          <w:sz w:val="24"/>
        </w:rPr>
        <w:t>[OPPOSER’S/PETITIONER’S] REQUESTS FOR ADMISSION</w:t>
      </w:r>
    </w:p>
    <w:p>
      <w:pPr>
        <w:keepNext w:val="0"/>
        <w:spacing w:before="120" w:after="0" w:line="260" w:lineRule="exact"/>
        <w:ind w:left="1080" w:right="0" w:firstLine="240"/>
        <w:jc w:val="left"/>
      </w:pPr>
      <w:r>
        <w:rPr>
          <w:rFonts w:ascii="Times New Roman" w:hAnsi="Times New Roman" w:eastAsia="Times New Roman" w:cs="Times New Roman"/>
          <w:b w:val="0"/>
          <w:sz w:val="24"/>
        </w:rPr>
        <w:t>Pursuant to Rule 36(</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Rules of Civil Procedure and Trademark Rule 2.120 of the Trademark Rules of Practice (37 C.F.R. § 2.120), [Opposer/Petitioner] [opposer’s/petitioner’s name] requests that, within thirty days of service hereof, [Applicant/Respondent] [applicant’s/respondent’s name] respond in writing and under oath to each of the following Requests for Admission:</w:t>
      </w:r>
    </w:p>
    <w:p>
      <w:pPr>
        <w:keepNext w:val="0"/>
        <w:spacing w:before="120" w:after="0" w:line="260" w:lineRule="exact"/>
        <w:ind w:left="1440" w:right="0" w:firstLine="0"/>
        <w:jc w:val="left"/>
      </w:pPr>
      <w:r>
        <w:rPr>
          <w:rFonts w:ascii="Times New Roman" w:hAnsi="Times New Roman" w:eastAsia="Times New Roman" w:cs="Times New Roman"/>
          <w:b/>
          <w:sz w:val="24"/>
        </w:rPr>
        <w:t>GENERAL DEFINITIONS</w:t>
      </w:r>
    </w:p>
    <w:p>
      <w:pPr>
        <w:keepNext w:val="0"/>
        <w:spacing w:before="120" w:after="0" w:line="260" w:lineRule="exact"/>
        <w:ind w:left="1800" w:right="0" w:firstLine="240"/>
        <w:jc w:val="left"/>
      </w:pPr>
      <w:r>
        <w:rPr>
          <w:rFonts w:ascii="Times New Roman" w:hAnsi="Times New Roman" w:eastAsia="Times New Roman" w:cs="Times New Roman"/>
          <w:b w:val="0"/>
          <w:sz w:val="24"/>
        </w:rPr>
        <w:t>[Opposer’s/Petitioner’s] General Definitions set out in [Opposer’s/Petitioner’s] First Set of Interrogatories and [Opposer’s/Petitioner’s] First Set of Document Production Requests are incorporated herein by reference.</w:t>
      </w:r>
    </w:p>
    <w:p>
      <w:pPr>
        <w:keepNext w:val="0"/>
        <w:spacing w:before="120" w:after="0" w:line="260" w:lineRule="exact"/>
        <w:ind w:left="1440" w:right="0" w:firstLine="0"/>
        <w:jc w:val="left"/>
      </w:pPr>
      <w:r>
        <w:rPr>
          <w:rFonts w:ascii="Times New Roman" w:hAnsi="Times New Roman" w:eastAsia="Times New Roman" w:cs="Times New Roman"/>
          <w:b/>
          <w:sz w:val="24"/>
        </w:rPr>
        <w:t>INSTRUCTIONS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Your written response to these Requests must comply with Rule 36 of the Federal Rules of Civil Procedure, in that if you do not admit each matter, you must separately respond under oath to each Request within thirty (30) days of the service of these Requests by: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Admitting so much of the matter involved in the request as is true;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Denying so much of the matter involved in the request as is untrue;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Specifying so much of the matter involved in the request as to the truth of which the responding party lacks sufficient information or knowledge.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your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is that you lack information or knowledge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failure to admit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then you shall state in the answer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concerning the matter in the particular request has been made, and that the information known or readily obtainable is insufficient to enable you to admit that matter.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your response is that only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is objectionable, the remainder of the request shall be answered.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or to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the specific ground for objection shall be set forth clearly in the response.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object to any request on the ground that the answer would reveal privileged information, please specify: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name of the author of the document or person making such communication;</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addressees or recipients of the document or oral communication; and</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relationship between the author of the document or person making such communication and the addressees or recipients of the document or oral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for admission are continuing and require further answer and supplementation, as provided by Federal Rule of Civil Procedure 26(e).</w:t>
      </w:r>
    </w:p>
    <w:p>
      <w:pPr>
        <w:keepNext w:val="0"/>
        <w:spacing w:before="120" w:after="0" w:line="260" w:lineRule="exact"/>
        <w:ind w:left="1440" w:right="0" w:firstLine="0"/>
        <w:jc w:val="left"/>
      </w:pPr>
      <w:r>
        <w:rPr>
          <w:rFonts w:ascii="Times New Roman" w:hAnsi="Times New Roman" w:eastAsia="Times New Roman" w:cs="Times New Roman"/>
          <w:b/>
          <w:sz w:val="24"/>
        </w:rPr>
        <w:t>REQUESTS FOR ADMISSION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following documents, attached as exhibits to these Requests, which [Applicant/Respondent] produced in response to [Opposer’s/Petitioner’s] First Set of Document Production Requests, are true and correct copies of authentic documents: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document bearing bates stamp [bates number] in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envelope bearing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postmark of [date] addressed to “[corporate name of Opposer/Petitioner]”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affiliated with [Applicant/Respondent].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document bearing bates stamp [bates number] in Exhibit [number],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included among the contents of the envelope bearing bates stamp [bates number],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“[corporate name of Opposer/Petitioner]” and [Opposer’s/Petitioner’s] [Opposer’s/Petitioner’s product] bearing [Opposer’s/Petitioner’s] Mark.</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Exhibit [number] was received by [Applicant/Respondent].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[Applicant/Respondent] [intends to sell or sells] [      ] products in connection with [Applicant’s/Respondent’s] [      ] Mark.</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will decide to purchase [type of product sold or intended to be sold by Applicant/Respondent] without significant deliberation.</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[Type of products sold or intended to be sold by Applicant/Respondent] are subject to frequent replacement.</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[Type of products sold or intended to be sold by Applicant/Respondent] are held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standard of purchasing care.</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average retail price for [type of products sold or intended to be sold by Applicant/Respondent] is [price].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Some of the goods identified in the [application/registration] for [Applicant’s/Respondent’s] Mark are “[quote the relevant goods as they appear in the application/registration].”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Some of the goods identified in the [application/registration] for [Opposer’s/Petitioner’s] Mark are “[quote the relevant goods as they appear in the application/registration].”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authentic federal registration certificate for the mark [third-party mark], Registration No. [number], filed on the Principal Register in the United States Patent and Trademark Office.</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Registration No. [number], in Exhibit [number of exhibit referenced in Request No. 12], for the mark [third-party mark], is for use in connection with [relevant goods and/or services listed in the third-party 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[Repeat Requests for Admission Nos. 12 and 13 for each additional third-party registration that includes products identified in both Applicant’s/Respondent’s and Opposer’s/Petitioner’s application/registration.]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print-out of the website [website address].</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goods [list goods] and [list goods] are advertised at [website address], as depicted in Exhibit [number of exhibit referenced in Request No. 15].</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goods [list goods] and [list goods] are available for sale at [website address], as depicted in Exhibit [number of exhibit referenced in Request No. 15].</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[Repeat Requests for Admission Nos. 15 to 17 for each additional website through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advertises and/or sells products identified in both Applicant’s/Respondent’s and Opposer’s/Petitioner’s application/registration.]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least some of the goods identified in the [application/registration] for [Opposer’s/Petitioner’s] Mark are related to goods identified in the [application/registration] for [Applicant’s/Respondent’s] Mark.</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Prior to adopting the [Applicant’s/Respondent’s mark] Mark, [Applicant/Respondent] was aware of [Opposer’s/Petitioner’s] use of the [Opposer’s/Petitioner’s mark] Mark to promote and/or sell products to the public.</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Prior to adopting the [Applicant’s/Respondent’s mark] Mark, [Applicant/Respondent] was aware of [Opposer’s/Petitioner’s] use of the [Opposer’s/Petitioner’s mark] Mark in advertising materials.</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[Opposer’s/Petitioner’s] [       ] Mark is well-known.</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[Opposer’s/Petitioner’s] [       ] Mark is famous.</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[Applicant’s/Respondent’s] first commercial use of [Applicant’s/Respondent’s] Mark was after [year].</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[Applicant/Respondent] did not use [Applicant’s/Respondent’s] Mark in United State commerce prior to [date of Opposer’s/Petitioner’s first use of Opposer’s/Petitioner’s Mark].</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second word in [Applicant’s/Respondent’s] Mark, “[word in Applicant’s/Respondent’s compound mark],” is the same as the second word in [Opposer’s/Petitioner’s] Mark.</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first word in [Applicant’s/Respondent’s] Mark, “[word in Applicant’s/Respondent’s compound mark],” has the same number of letters as the first word in [Opposer’s/Petitioner’s] Mark, “[word in Opposer’s/Petitioner’s compound mark].”</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first word in [Applicant’s/Respondent’s] Mark and the first word in [Opposer’s/Petitioner’s] Mark both end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vowel, “[vowel].”</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“[first word in Applicant’s/Respondent’s compound mark]” means [dictionary definition].</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“[first word in Opposer’s/Petitioner’s compound mark]” means [dictionary definition].</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“[first word in Applicant’s/Respondent’s compound mark]”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meaning to the word “[first word in Opposer’s/Petitioner’s compound mark].”</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[Applicant’s/Respondent’s] Mark and [Opposer’s/Petitioner’s] Mark engender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commercial impression.</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[Applicant/Respondent] is not aware of any third party which 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that includes the word [shared common word in the parties’ trademarks] with [describe any visual similarities, such as font, type size, and common design elements] for [describe products] products, other than [Applicant/Respondent] and [Opposer/Petitioner].</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[Opposer’s/Petitioner’s] Mark does not identify the characteristics of [Opposer’s/Petitioner’s] goods.</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[Opposer’s/Petitioner’s] Mark is not descriptive of [Opposer’s/Petitioner’s] goods.</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[Opposer’s/Petitioner’s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[Opposer/Petitioner]</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[date] day of [month], [year],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[Opposer’s/Petitioner’s] Requests for Admission to be served upon counsel for [Applicant/Respondent] by email:</w:t>
      </w:r>
    </w:p>
    <w:p>
      <w:pPr>
        <w:keepNext w:val="0"/>
        <w:spacing w:before="200" w:after="0" w:line="260" w:lineRule="exact"/>
        <w:ind w:left="1080" w:right="0" w:firstLine="0"/>
        <w:jc w:val="both"/>
      </w:pPr>
      <w:r>
        <w:rPr>
          <w:rFonts w:ascii="Times New Roman" w:hAnsi="Times New Roman" w:eastAsia="Times New Roman" w:cs="Times New Roman"/>
          <w:b w:val="0"/>
          <w:sz w:val="24"/>
        </w:rPr>
        <w:t>[name of Applicant’s/Respondent’s counsel and 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Transmittal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[date] day of [month],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[Opposer’s/Petitioner’s] Requests for Admission is being filed electronically with the Trademark Trial and Appeal Board of the United States Patent and Trademark Office via ESTTA.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