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Requests for Production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IN THE 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360" w:right="0" w:firstLine="0"/>
        <w:jc w:val="center"/>
      </w:pPr>
      <w:r>
        <w:rPr>
          <w:rFonts w:ascii="Times New Roman" w:hAnsi="Times New Roman" w:eastAsia="Times New Roman" w:cs="Times New Roman"/>
          <w:b/>
          <w:sz w:val="24"/>
        </w:rPr>
        <w:t>Defendant [ACCUSED INFRINGER]’s</w:t>
      </w:r>
      <w:r>
        <w:rPr>
          <w:rFonts w:ascii="Times New Roman" w:hAnsi="Times New Roman" w:eastAsia="Times New Roman" w:cs="Times New Roman"/>
          <w:sz w:val="24"/>
        </w:rPr>
        <w:br/>
      </w:r>
      <w:r>
        <w:rPr>
          <w:rFonts w:ascii="Times New Roman" w:hAnsi="Times New Roman" w:eastAsia="Times New Roman" w:cs="Times New Roman"/>
          <w:b/>
          <w:sz w:val="24"/>
        </w:rPr>
        <w:t>First Set of Requests for the Production of Documents And Things</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 34 of the Federal Rules of Civil Procedure, Defendant [Name] hereby requests that Plaintiff produce for inspection and copying, at the offices of Defendant’s counsel, [Address], or at another mutually agreeable location, within thirty (30) days, the documents and things requested below. Electronically stored information should be produced in [format].</w:t>
      </w:r>
    </w:p>
    <w:p>
      <w:pPr>
        <w:keepNext w:val="0"/>
        <w:spacing w:before="120" w:after="0" w:line="260" w:lineRule="exact"/>
        <w:ind w:left="360" w:right="0" w:firstLine="0"/>
        <w:jc w:val="left"/>
      </w:pPr>
      <w:r>
        <w:rPr>
          <w:rFonts w:ascii="Times New Roman" w:hAnsi="Times New Roman" w:eastAsia="Times New Roman" w:cs="Times New Roman"/>
          <w:b/>
          <w:sz w:val="24"/>
        </w:rPr>
        <w:t>DEFINITIONS AND INSTRUCTIONS</w:t>
      </w:r>
    </w:p>
    <w:p>
      <w:pPr>
        <w:keepNext w:val="0"/>
        <w:spacing w:before="120" w:after="0" w:line="260" w:lineRule="exact"/>
        <w:ind w:left="720" w:right="0" w:firstLine="240"/>
        <w:jc w:val="left"/>
      </w:pPr>
      <w:r>
        <w:rPr>
          <w:rFonts w:ascii="Times New Roman" w:hAnsi="Times New Roman" w:eastAsia="Times New Roman" w:cs="Times New Roman"/>
          <w:b w:val="0"/>
          <w:sz w:val="24"/>
        </w:rPr>
        <w:t>As used herein, the following definitions apply: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Plaintiff</w:t>
      </w:r>
      <w:r>
        <w:rPr>
          <w:rFonts w:ascii="Times New Roman" w:hAnsi="Times New Roman" w:eastAsia="Times New Roman" w:cs="Times New Roman"/>
          <w:b w:val="0"/>
          <w:sz w:val="24"/>
        </w:rPr>
        <w:t xml:space="preserve"> means [Patent Owner’s Name], the plaintiff in this action, and its owners, officers, directors, agents, servants, employees, in-house and outside attorneys, accountants, consultants, predecessors in interest, corporate parents, affiliates, subsidiaries, or other persons or entities acting on its behalf.</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Defendant</w:t>
      </w:r>
      <w:r>
        <w:rPr>
          <w:rFonts w:ascii="Times New Roman" w:hAnsi="Times New Roman" w:eastAsia="Times New Roman" w:cs="Times New Roman"/>
          <w:b w:val="0"/>
          <w:sz w:val="24"/>
        </w:rPr>
        <w:t xml:space="preserve"> means [Accused Infringer’s Name], the defendant in this action, as well as its past or present owners, officers, directors, agents, servants, employees, in-house and outside attorneys, accountants, consultants, corporate parents, affiliates, subsidiaries, or other persons or entities acting on its behalf.</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Communications</w:t>
      </w:r>
      <w:r>
        <w:rPr>
          <w:rFonts w:ascii="Times New Roman" w:hAnsi="Times New Roman" w:eastAsia="Times New Roman" w:cs="Times New Roman"/>
          <w:b w:val="0"/>
          <w:sz w:val="24"/>
        </w:rPr>
        <w:t xml:space="preserve"> shall mean any exchange or transfer of information whether written, oral, graphic, electronic, or in any other form, including metadata.</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w:t>
      </w:r>
      <w:r>
        <w:rPr>
          <w:rFonts w:ascii="Times New Roman" w:hAnsi="Times New Roman" w:eastAsia="Times New Roman" w:cs="Times New Roman"/>
          <w:b w:val="0"/>
          <w:sz w:val="24"/>
        </w:rPr>
        <w:t xml:space="preserve"> encompasses “documents or electronically stored information” within the meaning of Fed. R. Civ. P. 34(</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all responsive objects and things of every kind and nature, including, but not limited to prototypes, models and specimens.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or non-identical copy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within the meaning of this term.</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w:t>
      </w:r>
      <w:r>
        <w:rPr>
          <w:rFonts w:ascii="Times New Roman" w:hAnsi="Times New Roman" w:eastAsia="Times New Roman" w:cs="Times New Roman"/>
          <w:b w:val="0"/>
          <w:sz w:val="24"/>
        </w:rPr>
        <w:t xml:space="preserve"> shall mean the [date] meeting in [location] between [names of attendees].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Identify (with respect to persons)</w:t>
      </w:r>
      <w:r>
        <w:rPr>
          <w:rFonts w:ascii="Times New Roman" w:hAnsi="Times New Roman" w:eastAsia="Times New Roman" w:cs="Times New Roman"/>
          <w:b w:val="0"/>
          <w:sz w:val="24"/>
        </w:rPr>
        <w:t xml:space="preserve"> means to give, to the extent known, the person’s full name, present or last known address, and when referring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additionally, the present or last known place of employment.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been identified in accordance with this subparagraph, only the name of that person need be listed in response to subsequent discovery requesting the identification of that person.</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Identify (with respect to documents)</w:t>
      </w:r>
      <w:r>
        <w:rPr>
          <w:rFonts w:ascii="Times New Roman" w:hAnsi="Times New Roman" w:eastAsia="Times New Roman" w:cs="Times New Roman"/>
          <w:b w:val="0"/>
          <w:sz w:val="24"/>
        </w:rPr>
        <w:t xml:space="preserve"> means to give, to the extent known, the (i) type of document; (ii) general subject matter; (iii) date of the document; and (iv) author(s), addressee(s) and recipient(s). In the alternative, the responding party may produce the documents, together with identifying information sufficient to satisfy Fed. R. Civ. P. 33(d).</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any natural person or any legal entity, including, without limitation, any business or governmental entity or association.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Concerning</w:t>
      </w:r>
      <w:r>
        <w:rPr>
          <w:rFonts w:ascii="Times New Roman" w:hAnsi="Times New Roman" w:eastAsia="Times New Roman" w:cs="Times New Roman"/>
          <w:b w:val="0"/>
          <w:sz w:val="24"/>
        </w:rPr>
        <w:t xml:space="preserve"> means relating to, referring to, describing, evidencing or constituting.</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All/Any/Each</w:t>
      </w:r>
      <w:r>
        <w:rPr>
          <w:rFonts w:ascii="Times New Roman" w:hAnsi="Times New Roman" w:eastAsia="Times New Roman" w:cs="Times New Roman"/>
          <w:b w:val="0"/>
          <w:sz w:val="24"/>
        </w:rPr>
        <w:t xml:space="preserve"> shall each be construed as encompassing any and all.</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And/Or</w:t>
      </w:r>
      <w:r>
        <w:rPr>
          <w:rFonts w:ascii="Times New Roman" w:hAnsi="Times New Roman" w:eastAsia="Times New Roman" w:cs="Times New Roman"/>
          <w:b w:val="0"/>
          <w:sz w:val="24"/>
        </w:rPr>
        <w:t xml:space="preserve"> shall be construed either disjunctively or conjunctively as necessary to bring within the scope of the discovery request all responses that might otherwise be construed to be outside of its scope.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Patent-in-suit</w:t>
      </w:r>
      <w:r>
        <w:rPr>
          <w:rFonts w:ascii="Times New Roman" w:hAnsi="Times New Roman" w:eastAsia="Times New Roman" w:cs="Times New Roman"/>
          <w:b w:val="0"/>
          <w:sz w:val="24"/>
        </w:rPr>
        <w:t xml:space="preserve"> means U. S. Patent No. [Number].</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Art</w:t>
      </w:r>
      <w:r>
        <w:rPr>
          <w:rFonts w:ascii="Times New Roman" w:hAnsi="Times New Roman" w:eastAsia="Times New Roman" w:cs="Times New Roman"/>
          <w:b w:val="0"/>
          <w:sz w:val="24"/>
        </w:rPr>
        <w:t xml:space="preserve"> means everything that qualifies as prior art under 35 U. S. C. §§ 102 and 103, including, without limitation, all documents, things, information, knowledge, uses, disclosures, sales, offers for sale or acts that qualify as prior art under §§ 102 and 103.</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Representative</w:t>
      </w:r>
      <w:r>
        <w:rPr>
          <w:rFonts w:ascii="Times New Roman" w:hAnsi="Times New Roman" w:eastAsia="Times New Roman" w:cs="Times New Roman"/>
          <w:b w:val="0"/>
          <w:sz w:val="24"/>
        </w:rPr>
        <w:t xml:space="preserve">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attorneys and consultants, as well as other individuals or business entities in the employ of or otherwise acting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Accused Product</w:t>
      </w:r>
      <w:r>
        <w:rPr>
          <w:rFonts w:ascii="Times New Roman" w:hAnsi="Times New Roman" w:eastAsia="Times New Roman" w:cs="Times New Roman"/>
          <w:b w:val="0"/>
          <w:sz w:val="24"/>
        </w:rPr>
        <w:t xml:space="preserve"> means the product referenced in paragraph [number] of the Complaint.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document or information for which you 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please specify:</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nature of the privilege being claimed (including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general subject matter of the document or oral communication as to which the privilege is claimed;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date of the document or oral communication;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author or person making such communication;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addressees or recipients of the document or oral communication;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relationship between the author or person making such communication and the addressees or recipients of the document or oral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it is claimed that only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oral communication is privileged or otherwise need not be produced, Plaintiff shall identify or produce the remaining part of the document or oral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document or thing is not produced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privilege, or if Plaintiff contends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thing is otherwise excludable from discovery, Plaintiff shall describe in writing what is not being produced.</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request for documents seeks production of the document in its entirety, without abbreviation or expurgation, including all attachments or other matters affixed thereto.</w:t>
      </w:r>
    </w:p>
    <w:p>
      <w:pPr>
        <w:keepNext w:val="0"/>
        <w:spacing w:before="120" w:after="0" w:line="260" w:lineRule="exact"/>
        <w:ind w:left="1080" w:right="0" w:firstLine="0"/>
        <w:jc w:val="left"/>
      </w:pPr>
      <w:r>
        <w:rPr>
          <w:rFonts w:ascii="Times New Roman" w:hAnsi="Times New Roman" w:eastAsia="Times New Roman" w:cs="Times New Roman"/>
          <w:b w:val="0"/>
          <w:sz w:val="24"/>
        </w:rPr>
        <w:t>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requests shall be deemed continuing so as to require further and supplemental production if Plaintiff, or any other person on its behalf, obtains additional information or documents or things responsive to these requests.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requests apply to all responsive documents, information and things in Plaintiff’s possession, custody or control.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calls for the production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thing not within the custody, possession or control of Plaintiff, please state this fact in the response to these requests, identify and describe the document or thing with particularity, describe all efforts to locate the document, and state the name, address, telephone number and email address of the person or persons having custody, possession or control of the document or thing.</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any document or thing called for by these requests has been destroyed, lost, discarded, or otherwise disposed of prior to the responses to these requests, please identify such document or thing as completely as possible, including without limitation the following: date of disposal, manner of disposal, reason for disposal, person authorizing disposal and person disposing of the document or thing.</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produced in response to these requests are to be produced as they are kept in the usual course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there are no documents responsive to any particular category, please so state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electronically stored information (ESI) shall be produced in the format set forth in the Court’s [E-Discovery Order or Rule 26(f) Scheduling Order].</w:t>
      </w:r>
    </w:p>
    <w:p>
      <w:pPr>
        <w:keepNext w:val="0"/>
        <w:spacing w:before="120" w:after="0" w:line="260" w:lineRule="exact"/>
        <w:ind w:left="360" w:right="0" w:firstLine="0"/>
        <w:jc w:val="left"/>
      </w:pPr>
      <w:r>
        <w:rPr>
          <w:rFonts w:ascii="Times New Roman" w:hAnsi="Times New Roman" w:eastAsia="Times New Roman" w:cs="Times New Roman"/>
          <w:b/>
          <w:sz w:val="24"/>
        </w:rPr>
        <w:t>REQUESTS FOR PRODUCTION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Plaintiff’s organizational and management structure for the time period from conception of the subject matter of the patent-in-suit to the present.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identified in or relied upon in Plaintiff’s complaint.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upon which Plaintiff relies to support its allegations of direct infringement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upon which Plaintiff relies to support its allegations of indirect infringement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upon which Plaintiff relies in support of its allegations that Defendant’s alleged indirect infringement of the patent-in-suit has been intentional.</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upon which Plaintiff relies in support of its allegations that Defendant had knowledge of the patent-in-suit prior to service of Plaintiff’s complaint.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and things upon which Plaintiff relies in support of its allegations concerning Defendant’s alleged infringement.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and things upon which Plaintiff relies to support its proposed claim construction for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the conception, research, design, development, engineering, operation, testing, or reduction to practice of each invention claimed in the patent-in-suit, including, without limitation, notebooks, version control records, prototypes, samples, sketches, engineering drawings, specifications, manuals and instructions in all forms of media.</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the application for the patent-in-suit or any related patent or application, whether in draft or final form, including all communications with the U.S. Patent and Trademark Office or any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all U.S. patent applications from which the patent-in-suit claims priority or that relate to or claim priority to the application for the patent-in-suit, including any continuations, divisionals, continuations-in-part or reexaminations related thereto.</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all non-U.S. patent applications from which the patent-in-suit claims priority or that relate to or claim priority to the application for the patent-in-suit, including all international PCT (Patent Cooperation Treaty) patent applications and foreign patent applications, including the file histories, all communications, and all correspondence to or from the applicable governmental office(s).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any contribution of each inventor named in the patent-in-suit to the invention of each claim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that establish Plaintiff’s right, title and interest in and to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assignments or other documents conveying or transferring any rights or interest in, under, or to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searches for prior art to the invention(s) disclosed or claimed in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prior art to the patent-in-suit other than the prior art listed in the patent, including prior art known to the inventor(s) and others involved in the prosecution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and things concerning the first use of any invention(s) disclosed or claimed in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any sale, attempted sale, offer for sale, use, or public use of any invention(s) disclosed or claimed in the patent-in-suit prior to the actual filing date of the application that directly resulted in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the date on which any product embodying any claim in the patent-in-suit sold by Plaintiff or by licensees was first disclosed, first offered for sale, and first used.</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used in or distributed at any conference, seminar, demonstration, sales show, trade show, convention, marketing session, training session, testing, or other presentation, whether public or private, at which any device, apparatus, or process embodying the invention(s) disclosed in the patent-in-suit was disclosed, displayed, demonstrated, promoted, exhibited, or tested.</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disclosing or describing the invention of any claim of the patent-in-suit before the earliest effective filing date of the patent-in-suit, including any internal invention disclosures.</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opinion(s) of patentability of the invention(s) claimed in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the accused products.</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Plaintiff’s pre-suit investigation of alleged infringement of the patent-in-suit by Defendant.</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sample of the accused products acquired or examined by Plaintiff or any of its representatives prior to the filing of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the date of acquisition by Plaintiff or any of its representatives of each sample of the accused products acquired by Plaintiff or any of its representatives prior to the filing of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28.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comparison of the accused products to the claims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29.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opinions of counsel, claim charts, notes, memoranda, correspondence or other documents that in any way characterize, discuss, or describe the scope or validity of the claims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30.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communications that allege that the accused product infringes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Samples of any products covered by the patent-in-suit that have been offered by Plaintiff or by licensees under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and things concerning whether the Plaintiff or any predecessor-in-interest to the patent-in-suit complied with the notice and marking requirements of 35 U.S.C. § 287, including without limitation the practices and procedures of the Plaintiff and any licensee under the patent-in-suit to mark products embodying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claimed in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annual sales of Plaintiff’s products covered by the patent-in-suit by monetary value and quantity, the prices at which such products were sold, Plaintiff’s profits from such sales and Plaintiff’s costs used to calculate such profits.</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the customers to which Plaintiff has promoted or sold any product covered by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any alleged commercial success of any products covered by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36.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any alleged long-felt need for any inventions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37.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any information that indicates that any of the inventions of the patent-in-suit are non-obvious.</w:t>
      </w:r>
    </w:p>
    <w:p>
      <w:pPr>
        <w:keepNext w:val="0"/>
        <w:spacing w:before="120" w:after="0" w:line="260" w:lineRule="exact"/>
        <w:ind w:left="720" w:right="0" w:firstLine="0"/>
        <w:jc w:val="left"/>
      </w:pPr>
      <w:r>
        <w:rPr>
          <w:rFonts w:ascii="Times New Roman" w:hAnsi="Times New Roman" w:eastAsia="Times New Roman" w:cs="Times New Roman"/>
          <w:b w:val="0"/>
          <w:sz w:val="24"/>
        </w:rPr>
        <w:t>38.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Plaintiff’s marketing and promotional materials for any products covered by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39.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describing, discussing, analyzing or illustrating the market for products covered by the patent-in-suit, including the identity and market share of competing products and Plaintiff’s or Defendant’s market share.</w:t>
      </w:r>
    </w:p>
    <w:p>
      <w:pPr>
        <w:keepNext w:val="0"/>
        <w:spacing w:before="120" w:after="0" w:line="260" w:lineRule="exact"/>
        <w:ind w:left="720" w:right="0" w:firstLine="0"/>
        <w:jc w:val="left"/>
      </w:pPr>
      <w:r>
        <w:rPr>
          <w:rFonts w:ascii="Times New Roman" w:hAnsi="Times New Roman" w:eastAsia="Times New Roman" w:cs="Times New Roman"/>
          <w:b w:val="0"/>
          <w:sz w:val="24"/>
        </w:rPr>
        <w:t>40.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any loss by Plaintiff of sales or market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Defendant’s alleged infringement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Patent licenses to which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relating to [describe general field of technology of the asserted patent].</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licensing of the patent-in-suit, including documents concerning any attempts to license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including patent licenses, upon which Plaintiff relies in support of its calculation of damages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royalty.</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upon which Plaintiff relies in support of its claim of damages, whether based on lost profits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royalty or both.</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any litigation or legal proceeding in any forum concerning the patent-in-suit, including any petition or proceeding before the Patent Trial and Appeal Board.</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any investigation, research and analysis of any product of any third party in connection with potential infringement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notice or other communications from Plaintiff to any third party regarding the existence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assertions that any third party has infringed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any statements by third parties concerning non-infringement of the patent-in-suit.</w:t>
      </w:r>
    </w:p>
    <w:p>
      <w:pPr>
        <w:keepNext w:val="0"/>
        <w:spacing w:before="120" w:after="0" w:line="260" w:lineRule="exact"/>
        <w:ind w:left="720" w:right="0" w:firstLine="0"/>
        <w:jc w:val="left"/>
      </w:pPr>
      <w:r>
        <w:rPr>
          <w:rFonts w:ascii="Times New Roman" w:hAnsi="Times New Roman" w:eastAsia="Times New Roman" w:cs="Times New Roman"/>
          <w:b w:val="0"/>
          <w:sz w:val="24"/>
        </w:rPr>
        <w:t>50.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any allegations that any claim of the patent-in-suit is invalid.</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concerning any allegations that the patent-in-suit is unenforceable.</w:t>
      </w:r>
    </w:p>
    <w:p>
      <w:pPr>
        <w:keepNext w:val="0"/>
        <w:spacing w:before="120" w:after="0" w:line="260" w:lineRule="exact"/>
        <w:ind w:left="720" w:right="0" w:firstLine="0"/>
        <w:jc w:val="left"/>
      </w:pPr>
      <w:r>
        <w:rPr>
          <w:rFonts w:ascii="Times New Roman" w:hAnsi="Times New Roman" w:eastAsia="Times New Roman" w:cs="Times New Roman"/>
          <w:b w:val="0"/>
          <w:sz w:val="24"/>
        </w:rPr>
        <w:t>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upon which Plaintiff relies in support of its claim of irreparable harm.</w:t>
      </w:r>
    </w:p>
    <w:p>
      <w:pPr>
        <w:keepNext w:val="0"/>
        <w:spacing w:before="120" w:after="0" w:line="260" w:lineRule="exact"/>
        <w:ind w:left="720" w:right="0" w:firstLine="0"/>
        <w:jc w:val="left"/>
      </w:pPr>
      <w:r>
        <w:rPr>
          <w:rFonts w:ascii="Times New Roman" w:hAnsi="Times New Roman" w:eastAsia="Times New Roman" w:cs="Times New Roman"/>
          <w:b w:val="0"/>
          <w:sz w:val="24"/>
        </w:rPr>
        <w:t>53.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that Plaintiff intends to or may utilize at trial in this matter.</w:t>
      </w:r>
    </w:p>
    <w:p>
      <w:pPr>
        <w:keepNext w:val="0"/>
        <w:spacing w:before="120" w:after="0" w:line="260" w:lineRule="exact"/>
        <w:ind w:left="720" w:right="0" w:firstLine="0"/>
        <w:jc w:val="left"/>
      </w:pPr>
      <w:r>
        <w:rPr>
          <w:rFonts w:ascii="Times New Roman" w:hAnsi="Times New Roman" w:eastAsia="Times New Roman" w:cs="Times New Roman"/>
          <w:b w:val="0"/>
          <w:sz w:val="24"/>
        </w:rPr>
        <w:t>54.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and things upon which Plaintiff intends to rely to establish the level of ordinary skill in the art(s) to which the subject matter of the patent-in-suit pertains.</w:t>
      </w:r>
    </w:p>
    <w:p>
      <w:pPr>
        <w:keepNext w:val="0"/>
        <w:spacing w:before="120" w:after="0" w:line="260" w:lineRule="exact"/>
        <w:ind w:left="720" w:right="0" w:firstLine="0"/>
        <w:jc w:val="left"/>
      </w:pPr>
      <w:r>
        <w:rPr>
          <w:rFonts w:ascii="Times New Roman" w:hAnsi="Times New Roman" w:eastAsia="Times New Roman" w:cs="Times New Roman"/>
          <w:b w:val="0"/>
          <w:sz w:val="24"/>
        </w:rPr>
        <w:t>55.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Plaintiff’s document retention policy or document destruction policy, including any documents and things concerning such policy for retaining or destroying documents that exist in electronic form.</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[Number]</w:t>
      </w:r>
    </w:p>
    <w:p>
      <w:pPr>
        <w:keepNext w:val="0"/>
        <w:spacing w:before="200" w:after="0" w:line="260" w:lineRule="exact"/>
        <w:ind w:left="360" w:right="0" w:firstLine="0"/>
        <w:jc w:val="right"/>
      </w:pPr>
      <w:r>
        <w:rPr>
          <w:rFonts w:ascii="Times New Roman" w:hAnsi="Times New Roman" w:eastAsia="Times New Roman" w:cs="Times New Roman"/>
          <w:b w:val="0"/>
          <w:sz w:val="24"/>
        </w:rPr>
        <w:t>Attorneys for Defendant</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Defendant’s First Set of Requests for the Production of Documents And Things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right"/>
      </w:pPr>
      <w:r>
        <w:rPr>
          <w:rFonts w:ascii="Times New Roman" w:hAnsi="Times New Roman" w:eastAsia="Times New Roman" w:cs="Times New Roman"/>
          <w:b w:val="0"/>
          <w:sz w:val="24"/>
        </w:rPr>
        <w:t>________________</w:t>
      </w:r>
    </w:p>
    <w:p>
      <w:pPr>
        <w:keepNext w:val="0"/>
        <w:spacing w:before="200" w:after="0" w:line="260" w:lineRule="exact"/>
        <w:ind w:left="720" w:right="0" w:firstLine="0"/>
        <w:jc w:val="righ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