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Plaintiff</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PLAINTIFF'S FIRST SET OF REQUESTS FOR PRODUCTION</w:t>
      </w:r>
      <w:r>
        <w:rPr>
          <w:rFonts w:ascii="Times New Roman" w:hAnsi="Times New Roman" w:eastAsia="Times New Roman" w:cs="Times New Roman"/>
          <w:sz w:val="24"/>
        </w:rPr>
        <w:br/>
      </w:r>
      <w:r>
        <w:rPr>
          <w:rFonts w:ascii="Times New Roman" w:hAnsi="Times New Roman" w:eastAsia="Times New Roman" w:cs="Times New Roman"/>
          <w:b/>
          <w:sz w:val="24"/>
        </w:rPr>
        <w:t>OF DOCUMENTS AND THINGS TO PLAINTIFF, NOS. 1- [End Number]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34 of the Federal Rules of Civil Procedure, Plaintiff [name] requests that Defendant [name] produce the documents and things identified below. Defendant shall provide written responses and objections to these Requests on or before [date at least 30 days from the date of requests].</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identifying information about the parties relevant to the case, for example, information about the plaintiff's trademark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infringement case]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seek the production of documents and things as of the date on which Plaintiff responds; however, the Requests shall be deemed continuing and must be supplemented as required by the Federal Rules of Civil Procedure. If, after producing documents and things, Plaintiff becomes aware of any further document(s), thing(s), or information responsive to these Requests, Plaintiff is required to produce such additional documents, things, and/or information to Defendant promptly upon acquiring possession of such.</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Plaintiff contends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Plaintiff shall provide Defendant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in compliance with Rule 26(b)(5) of the Federal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objects to any Request as overly broad or unduly burdensome, Plaintiff shall produce those documents and/or things that are unobjectionable and specifically identify the respect in which the request is allegedly overly broad or burdensome.</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is aware that any document or thing responsive to any Request once existed but has been destroyed, or is no longer available for production, Plaintiff shall identify who destroyed it, why it was destroyed, and the circumstances under which it was destroyed or is no longer available.</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Respond to each of the Requests separately. Identify any Document responsive to any request as being responsive to the specific request at issue. If the same Document is responsive to more than one request, identify all requests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DOCUMENTS AND THINGS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[element of your claims].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[additional elements of your claims].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that support your contention that [identify factual contention from Answer].</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sufficient to show Defendant's current organizational structure, including without limitation documents sufficient to identify any parent, subsidiary, or other related companies, and documents sufficient to identify and describe Defendant's officers, directors, and managerial employees and their respective duties.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Defendant's investigation of [issue].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Copies of Defendant's policies concerning retention, storage, filing, and destruction of electronic documents and e-mail.</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Defendant's allegations in Paragraph [number] of the Answer, that "[quote from the answer]."</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non-privileged documents and things concerning this action, including without limitation all documents that Defendant sent to or received from any person concerning this action.</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non-privileged documents that Defendant sent to or received from any person concerning this action.</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communications between [name] and any other person during the time period [dates].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any allegation set forth in Plaintiff's Complaint, including without limitation all documents that support the denial of any allegation in Plaintiff's Complaint.</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that support the affirmative defenses alleged in Defendant's Answer.</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non-privileged communications relating to Plaintiff.</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lawsuit, action, claim, charge, assertion, allegation, or arbitration proceeding brought by or against Defendant involving claims for [insert claims in your case].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identified in Defendant's Initial Disclosures.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that support the denial of any allegation in Plaintiff's Complaint.</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