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RESIDENTIAL SUBCONTRACTOR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Residential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r>
        <w:rPr>
          <w:rFonts w:ascii="Times New Roman" w:hAnsi="Times New Roman" w:eastAsia="Times New Roman" w:cs="Times New Roman"/>
          <w:sz w:val="24"/>
        </w:rPr>
        <w:t>[NAME OF 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(“Contractor”) and </w:t>
      </w:r>
      <w:r>
        <w:rPr>
          <w:rFonts w:ascii="Times New Roman" w:hAnsi="Times New Roman" w:eastAsia="Times New Roman" w:cs="Times New Roman"/>
          <w:sz w:val="24"/>
        </w:rPr>
        <w:t>[NAME OF SUBCONTRACTOR]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and </w:t>
      </w:r>
      <w:r>
        <w:rPr>
          <w:rFonts w:ascii="Times New Roman" w:hAnsi="Times New Roman" w:eastAsia="Times New Roman" w:cs="Times New Roman"/>
          <w:sz w:val="24"/>
        </w:rPr>
        <w:t>[NAME OF CLIENT]</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BEING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xml:space="preserve"> – Including, but not limited to, employees, subcontractors and any other individuals or agents.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xml:space="preserve"> – Including, but not limited to, all supplies and products.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xml:space="preserve"> – Including, but not limited to, machinery, accessories, or devices.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xml:space="preserve"> – Including, but not limited to, ensuring that the above-mentioned Responsibilities are provided at the Location mentioned in Section V.</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(“Location”).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Determined at a later time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 </w:t>
      </w: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for the Services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 hour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b/>
          <w:sz w:val="24"/>
        </w:rPr>
        <w:t xml:space="preserve"> weekly</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monthly</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basis. If the Subcontractor completes the Services to the satisfaction of the Contractor, before the full amount or balance has been fully paid, any remaining amount shall be payable immediately.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b/>
          <w:sz w:val="24"/>
        </w:rPr>
        <w:t xml:space="preserve"> shall </w:t>
      </w:r>
      <w:r>
        <w:rPr>
          <w:rFonts w:ascii="Times New Roman" w:hAnsi="Times New Roman" w:eastAsia="Times New Roman" w:cs="Times New Roman"/>
          <w:b/>
          <w:sz w:val="24"/>
        </w:rPr>
        <w:t xml:space="preserve"> 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b/>
          <w:sz w:val="24"/>
        </w:rPr>
        <w:t xml:space="preserve"> shall </w:t>
      </w:r>
      <w:r>
        <w:rPr>
          <w:rFonts w:ascii="Times New Roman" w:hAnsi="Times New Roman" w:eastAsia="Times New Roman" w:cs="Times New Roman"/>
          <w:b/>
          <w:sz w:val="24"/>
        </w:rPr>
        <w:t xml:space="preserve"> 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 xml:space="preserve">Coverage Types: </w:t>
      </w:r>
      <w:r>
        <w:rPr>
          <w:rFonts w:ascii="Times New Roman" w:hAnsi="Times New Roman" w:eastAsia="Times New Roman" w:cs="Times New Roman"/>
          <w:sz w:val="24"/>
        </w:rPr>
        <w:t>(</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Combined Single Limit: Bodily Injury + Property Damage;</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Personal Liability Injury;</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Aggregate for Products-Completed Operations; and</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for anything other than General Liability or Automobile coverage.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w:t>
      </w:r>
      <w:r>
        <w:rPr>
          <w:rFonts w:ascii="Times New Roman" w:hAnsi="Times New Roman" w:eastAsia="Times New Roman" w:cs="Times New Roman"/>
          <w:b/>
          <w:sz w:val="24"/>
        </w:rPr>
        <w:t xml:space="preserve"> binding arbitration </w:t>
      </w:r>
      <w:r>
        <w:rPr>
          <w:rFonts w:ascii="Times New Roman" w:hAnsi="Times New Roman" w:eastAsia="Times New Roman" w:cs="Times New Roman"/>
          <w:b/>
          <w:sz w:val="24"/>
        </w:rPr>
        <w:t xml:space="preserve"> litigation</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