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Resolution Authorizing Officers to Execute and File Certificate of Dissolution</w:t>
      </w:r>
    </w:p>
    <w:p>
      <w:pPr/>
      <w:r>
        <w:rPr>
          <w:rFonts w:ascii="Times New Roman" w:hAnsi="Times New Roman" w:eastAsia="Times New Roman" w:cs="Times New Roman"/>
          <w:sz w:val="24"/>
        </w:rPr>
        <w:t>Upon motion duly made and seconded, the following resolutions were adopted by governing body:</w:t>
      </w:r>
    </w:p>
    <w:p>
      <w:pPr/>
      <w:r>
        <w:rPr>
          <w:rFonts w:ascii="Times New Roman" w:hAnsi="Times New Roman" w:eastAsia="Times New Roman" w:cs="Times New Roman"/>
          <w:sz w:val="24"/>
        </w:rPr>
        <w:t>RESOLVED, that the Corporation be dissolved pursuant to Sections 275 and 276 of the Delaware General Corporation Law; and</w:t>
      </w:r>
    </w:p>
    <w:p>
      <w:pPr/>
      <w:r>
        <w:rPr>
          <w:rFonts w:ascii="Times New Roman" w:hAnsi="Times New Roman" w:eastAsia="Times New Roman" w:cs="Times New Roman"/>
          <w:sz w:val="24"/>
        </w:rPr>
        <w:t>RESOLVED FURTHER, that the officers of the Corporation be, and each of them hereby is, authorized and directed to make, execute and file any and all certificate or documents, and to do all such acts as are necessary or proper to accomplish the dissolution of the Corporation including filing a Certificate of Dissolution with the Delaware Secretary of State.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