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Retir</w:t>
      </w:r>
      <w:r>
        <w:rPr>
          <w:rFonts w:ascii="Times New Roman" w:hAnsi="Times New Roman" w:eastAsia="Times New Roman" w:cs="Times New Roman"/>
          <w:sz w:val="24"/>
        </w:rPr>
        <w:t>ement Account Trust Designation</w:t>
      </w:r>
    </w:p>
    <w:p>
      <w:pPr/>
      <w:r>
        <w:rPr>
          <w:rFonts w:ascii="Times New Roman" w:hAnsi="Times New Roman" w:eastAsia="Times New Roman" w:cs="Times New Roman"/>
          <w:sz w:val="24"/>
        </w:rPr>
        <w:t>The Client Marital Trust and the Client Residuary Trust created under the Client Trust Agreement dated [trust date], as the same may be amended from time to time, in such proportions to each such Trust as shall be determined by the Successor Trustees of such Trusts so as to comply with the provisions of such Trust Agreement. Payments made from the portion of the account allocated to the Client Marital Trust each year shall at least be equal to the income earned on such portion and payments made from both accounts shall at least be equal to the required minimum distribution.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