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Rule 12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UNITED STATES DISTRICT COURT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____________________ </w:t>
      </w:r>
      <w:r>
        <w:rPr>
          <w:rFonts w:ascii="Times New Roman" w:hAnsi="Times New Roman" w:eastAsia="Times New Roman" w:cs="Times New Roman"/>
          <w:b/>
          <w:sz w:val="24"/>
        </w:rPr>
        <w:t>DISTRICT OF</w:t>
      </w:r>
      <w:r>
        <w:rPr>
          <w:rFonts w:ascii="Times New Roman" w:hAnsi="Times New Roman" w:eastAsia="Times New Roman" w:cs="Times New Roman"/>
          <w:b w:val="0"/>
          <w:sz w:val="24"/>
        </w:rPr>
        <w:t xml:space="preserv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DEFENDANT [Defendant's name]'s MEMORANDUM IN SUPPORT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 ITS MOTION TO DISMISS UNDER FED. R. CIV. P. 12(b)(6)</w:t>
      </w:r>
    </w:p>
    <w:p>
      <w:pPr>
        <w:keepNext w:val="0"/>
        <w:spacing w:before="120" w:after="0" w:line="260" w:lineRule="exact"/>
        <w:ind w:left="720" w:right="0" w:firstLine="0"/>
        <w:jc w:val="left"/>
      </w:pPr>
      <w:r>
        <w:rPr>
          <w:rFonts w:ascii="Times New Roman" w:hAnsi="Times New Roman" w:eastAsia="Times New Roman" w:cs="Times New Roman"/>
          <w:b/>
          <w:sz w:val="24"/>
        </w:rPr>
        <w:t>TABLE OF CONTENTS</w:t>
      </w:r>
    </w:p>
    <w:p>
      <w:pPr>
        <w:keepNext w:val="0"/>
        <w:spacing w:before="200" w:after="0" w:line="260" w:lineRule="exact"/>
        <w:ind w:left="1080" w:right="0" w:firstLine="0"/>
        <w:jc w:val="both"/>
      </w:pP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sz w:val="24"/>
        </w:rPr>
        <w:t>BACKGROUND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ASSERTED PATENT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ASSERTED CLAIMS</w:t>
      </w:r>
    </w:p>
    <w:p>
      <w:pPr>
        <w:keepNext w:val="0"/>
        <w:spacing w:before="200" w:after="0" w:line="260" w:lineRule="exact"/>
        <w:ind w:left="1080" w:right="0" w:firstLine="0"/>
        <w:jc w:val="both"/>
      </w:pPr>
      <w:r>
        <w:rPr>
          <w:rFonts w:ascii="Times New Roman" w:hAnsi="Times New Roman" w:eastAsia="Times New Roman" w:cs="Times New Roman"/>
          <w:b/>
          <w:sz w:val="24"/>
        </w:rPr>
        <w:t>ARGUMENT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LEGAL STANDARD UNDER RULE 12(b)(6)</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ABSTRACT IDEAS ARE NOT PATENT-ELIGIBLE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CLAIM [claim number of representative claim] RECITES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ABSTRACT IDEA</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CLAIM [claim number of representative claim] IS REPRESENTATIVE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SUBJECT MATTER ELIGIBILITY ANALYSIS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CLAIM [claim number of representative claim] ADDS NO INVENTIVE CONCEPT TO THE ABSTRACT IDEA</w:t>
      </w:r>
    </w:p>
    <w:p>
      <w:pPr>
        <w:keepNext w:val="0"/>
        <w:spacing w:before="200" w:after="0" w:line="260" w:lineRule="exact"/>
        <w:ind w:left="1080" w:right="0" w:firstLine="0"/>
        <w:jc w:val="both"/>
      </w:pPr>
      <w:r>
        <w:rPr>
          <w:rFonts w:ascii="Times New Roman" w:hAnsi="Times New Roman" w:eastAsia="Times New Roman" w:cs="Times New Roman"/>
          <w:b/>
          <w:sz w:val="24"/>
        </w:rPr>
        <w:t>CONCLUSION</w:t>
      </w:r>
    </w:p>
    <w:p>
      <w:pPr>
        <w:keepNext w:val="0"/>
        <w:spacing w:before="120" w:after="0" w:line="260" w:lineRule="exact"/>
        <w:ind w:left="720" w:right="0" w:firstLine="0"/>
        <w:jc w:val="left"/>
      </w:pPr>
      <w:r>
        <w:rPr>
          <w:rFonts w:ascii="Times New Roman" w:hAnsi="Times New Roman" w:eastAsia="Times New Roman" w:cs="Times New Roman"/>
          <w:b/>
          <w:sz w:val="24"/>
        </w:rPr>
        <w:t>TABLE OF AUTHORITIES</w:t>
      </w:r>
    </w:p>
    <w:p>
      <w:pPr>
        <w:keepNext w:val="0"/>
        <w:spacing w:before="200" w:after="0" w:line="260" w:lineRule="exact"/>
        <w:ind w:left="1080" w:right="0" w:firstLine="0"/>
        <w:jc w:val="both"/>
      </w:pPr>
      <w:r>
        <w:rPr>
          <w:rFonts w:ascii="Times New Roman" w:hAnsi="Times New Roman" w:eastAsia="Times New Roman" w:cs="Times New Roman"/>
          <w:b/>
          <w:sz w:val="24"/>
        </w:rPr>
        <w:t>Cases</w:t>
      </w:r>
    </w:p>
    <w:p>
      <w:pPr>
        <w:keepNext w:val="0"/>
        <w:spacing w:before="200" w:after="0" w:line="260" w:lineRule="exact"/>
        <w:ind w:left="1080" w:right="0" w:firstLine="0"/>
        <w:jc w:val="both"/>
      </w:pPr>
      <w:r>
        <w:rPr>
          <w:rFonts w:ascii="Times New Roman" w:hAnsi="Times New Roman" w:eastAsia="Times New Roman" w:cs="Times New Roman"/>
          <w:b w:val="0"/>
          <w:sz w:val="24"/>
        </w:rPr>
        <w:t>[case citations referenced in the brief in alphabetical order along with the page numbers where the citations appear]</w:t>
      </w:r>
    </w:p>
    <w:p>
      <w:pPr>
        <w:keepNext w:val="0"/>
        <w:spacing w:before="200" w:after="0" w:line="260" w:lineRule="exact"/>
        <w:ind w:left="1080" w:right="0" w:firstLine="0"/>
        <w:jc w:val="both"/>
      </w:pPr>
      <w:r>
        <w:rPr>
          <w:rFonts w:ascii="Times New Roman" w:hAnsi="Times New Roman" w:eastAsia="Times New Roman" w:cs="Times New Roman"/>
          <w:b/>
          <w:sz w:val="24"/>
        </w:rPr>
        <w:t>Statutes</w:t>
      </w:r>
    </w:p>
    <w:p>
      <w:pPr>
        <w:keepNext w:val="0"/>
        <w:spacing w:before="200" w:after="0" w:line="260" w:lineRule="exact"/>
        <w:ind w:left="1080" w:right="0" w:firstLine="0"/>
        <w:jc w:val="both"/>
      </w:pPr>
      <w:r>
        <w:rPr>
          <w:rFonts w:ascii="Times New Roman" w:hAnsi="Times New Roman" w:eastAsia="Times New Roman" w:cs="Times New Roman"/>
          <w:b w:val="0"/>
          <w:sz w:val="24"/>
        </w:rPr>
        <w:t>[statutory citations referenced in the brief along with the page numbers where the citations appear]</w:t>
      </w:r>
    </w:p>
    <w:p>
      <w:pPr>
        <w:keepNext w:val="0"/>
        <w:spacing w:before="200" w:after="0" w:line="260" w:lineRule="exact"/>
        <w:ind w:left="1080" w:right="0" w:firstLine="0"/>
        <w:jc w:val="both"/>
      </w:pPr>
      <w:r>
        <w:rPr>
          <w:rFonts w:ascii="Times New Roman" w:hAnsi="Times New Roman" w:eastAsia="Times New Roman" w:cs="Times New Roman"/>
          <w:b/>
          <w:sz w:val="24"/>
        </w:rPr>
        <w:t>Other authorities</w:t>
      </w:r>
    </w:p>
    <w:p>
      <w:pPr>
        <w:keepNext w:val="0"/>
        <w:spacing w:before="200" w:after="0" w:line="260" w:lineRule="exact"/>
        <w:ind w:left="1080" w:right="0" w:firstLine="0"/>
        <w:jc w:val="both"/>
      </w:pPr>
      <w:r>
        <w:rPr>
          <w:rFonts w:ascii="Times New Roman" w:hAnsi="Times New Roman" w:eastAsia="Times New Roman" w:cs="Times New Roman"/>
          <w:b w:val="0"/>
          <w:sz w:val="24"/>
        </w:rPr>
        <w:t>[other citations referenced in the brief along with the page numbers where the citations appear]</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memorandum is filed in support of Defendant [Defendant's name]'s motion to dismiss the complaint for failure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Fed. R. Civ. P. 12(b)(6). Plaintiff [plaintiff's name] has accused [defendant's name] of infringing U.S. Patent No. [patent number] ("the asserted patent"). The asserted patent is directed to [brief description of the patented invention]. The claims of the asserted patent which [defendant's name] is accused of infringing ("the asserted claims") are directed to patent-ineligible subject matter under 35 U. S. C. § 101, and are, therefore, invalid.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memorandum is filed in support of Defendant [Defendant's name]'s motion to dismiss the complaint for failure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Fed. R. Civ. P. 12(b)(6). Plaintiff [plaintiff's name] has accused [defendant's name] of infringing U.S. Patent No. [patent number] ("the asserted patent"). The asserted patent is directed to [brief description of the patented invention]. The claims of the asserted patent which [defendant's name] is accused of infringing ("the asserted claims") are directed to patent-ineligible subject matter under 35 U. S. C. § 101, and are, therefore, invalid.</w:t>
      </w:r>
    </w:p>
    <w:p>
      <w:pPr>
        <w:keepNext w:val="0"/>
        <w:spacing w:before="120" w:after="0" w:line="260" w:lineRule="exact"/>
        <w:ind w:left="72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Plaintiff [plaintiff's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manufacturer and supplier of [products/services]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in [city and state]. Defendant [defendant's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manufacturer and supplier of [products/services]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in [city and state].</w:t>
      </w:r>
    </w:p>
    <w:p>
      <w:pPr>
        <w:keepNext w:val="0"/>
        <w:spacing w:before="120" w:after="0" w:line="260" w:lineRule="exact"/>
        <w:ind w:left="1440" w:right="0" w:firstLine="240"/>
        <w:jc w:val="left"/>
      </w:pPr>
      <w:r>
        <w:rPr>
          <w:rFonts w:ascii="Times New Roman" w:hAnsi="Times New Roman" w:eastAsia="Times New Roman" w:cs="Times New Roman"/>
          <w:b w:val="0"/>
          <w:sz w:val="24"/>
        </w:rPr>
        <w:t>[Defendant's name] was founded in [year] and quickly became successful by designing and selling innovative [products/services] to customers such as [example of types of customers].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ASSERTED PATENT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asserted patent is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The Abstract of the asserted patent summarizes the invention as follows: [quote the abstract]. The patent further describes the invention as follows: [quote or paraphrase the parts of the patent that provide information that is important to support your argument]. See, asserted patent Col. [patent column number]: lines [line number] – [line number].</w:t>
      </w:r>
    </w:p>
    <w:p>
      <w:pPr>
        <w:keepNext w:val="0"/>
        <w:spacing w:before="120" w:after="0" w:line="260" w:lineRule="exact"/>
        <w:ind w:left="1440" w:right="0" w:firstLine="240"/>
        <w:jc w:val="left"/>
      </w:pPr>
      <w:r>
        <w:rPr>
          <w:rFonts w:ascii="Times New Roman" w:hAnsi="Times New Roman" w:eastAsia="Times New Roman" w:cs="Times New Roman"/>
          <w:b w:val="0"/>
          <w:sz w:val="24"/>
        </w:rPr>
        <w:t>The patent also teaches as follows: [describe other key teachings of the patent that the court should take into account when deciding the motion]. The patent further indicates that [reference other important statements in the patent specification].</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ASSERTED CLAIMS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asserted claims are claims numbers [claim numbers of asserted claims]. For the purpose of this motion, as explained below, claim number [claim number of representative claim] is representative and reads as follows: [quote the representative claim]. The asserted claims are claims numbers [claim numbers of asserted claims]. For the purpose of this motion, as explained below, claim number [claim number of representative claim] is representative and reads as follows: [quote the representative claim].</w:t>
      </w:r>
    </w:p>
    <w:p>
      <w:pPr>
        <w:keepNext w:val="0"/>
        <w:spacing w:before="120" w:after="0" w:line="260" w:lineRule="exact"/>
        <w:ind w:left="720" w:right="0" w:firstLine="0"/>
        <w:jc w:val="left"/>
      </w:pP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LEGAL STANDARD UNDER RULE 12(B)(6)</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To survive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dismiss under Rule 12(b)(6),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must "contain sufficient factual matter, accepted as true,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relief that is plausible on its face.'" Ashcroft v. Iqbal, 556 U.S. 662, 678 (2009) (quoting Bell Atl. Corp. v. Twombly, 550 U.S. 544, 570 (2007)). The court must accept all pleaded facts as true and construe them in the light most favorable to the plaintiff. Turner v. City &amp;Cty. of San Francisco, 788 F.3d 1206, 1210 (9th Cir. 2015). The court then determines whether the complaint "allows the court to draw the reasonable inference that the defendant is liable for the misconduct alleged." Iqbal, 556 U.S. at 678. However, "[t]hreadbare recitals of the elements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supported by mere conclusory statements, do not suffice." Id. Accordingly,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to survive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dismiss, the non-conclusory factual content, and reasonable inferences from that content, must be plausibly suggestive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entitling the plaintiff to relief." Moss v. U.S. Secret Serv., 572 F.3d 962, 969 (9th Cir. 2009) (internal quotation marks omitted).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Patent subject matter eligibility "may be, and frequently has been, resolved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12(b)(6) or (c) motion where the undisputed facts, considered under the standards required by that Rule,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holding of ineligibility under the substantive standards of law." SAP Am., Inc. v. Investpic, LLC, 898 F.3d 1161, 1166 (Fed. Cir. 2018). The Federal Circuit has repeatedly affirmed dismissal on the grounds of subject matter ineligibility at the motion to dismiss stage, before claim construction or significant discovery has commenced. See Cleveland Clinic Found. v. True Health Diagnostics LLC, 859 F.3d 1352, 1360 (Fed. Cir. 2017). For the reasons set forth below, there are no disputed issues of fact or claim construction issues that would prevent the Court from granting this motion.</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ABSTRACT IDEAS ARE NOT PATENT-ELIGIBLE</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Under 35 U.S.C. §101 "[w]hoever invents or discovers any new and useful process, machine, manufacture, or composition of matter, or any new and useful improvement thereof, may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therefor." Patents may not be obtained for "laws of nature, natural phenomena, [or] abstract ideas." Alice Corp. Pty. Ltd. v. CLS Bank Int'l, 573 U.S. 208, 217 (2014) (citations omitted). In </w:t>
      </w:r>
      <w:r>
        <w:rPr>
          <w:rFonts w:ascii="Times New Roman" w:hAnsi="Times New Roman" w:eastAsia="Times New Roman" w:cs="Times New Roman"/>
          <w:b w:val="0"/>
          <w:sz w:val="24"/>
        </w:rPr>
        <w:t>Alice</w:t>
      </w:r>
      <w:r>
        <w:rPr>
          <w:rFonts w:ascii="Times New Roman" w:hAnsi="Times New Roman" w:eastAsia="Times New Roman" w:cs="Times New Roman"/>
          <w:b w:val="0"/>
          <w:sz w:val="24"/>
        </w:rPr>
        <w:t xml:space="preserve">, the Supreme Court established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two-step test that district courts must apply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eligibility analysis under §101.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First, at step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must "determine whether the claims at issue are directed to one of those patent-ineligible concepts." Alice, 573 U.S. at 217(citing Mayo Collaborative Servs. v. Prometheus Labs, Inc., 566 U.S. 66, 77 (2012)). The courts "look to whether the claims . . . focus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means or method that improves the relevant technology or are instead directed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or effect that itself is the abstract idea and merely invoke generic processes and machinery." McRO, Inc. v. Bandai Namco Games Am. Inc., 837 F.3d 1299, 1314 (Fed. Cir. 2016).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At step one, courts review the claims "in light of the specification, based on whether 'their character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is directed to excluded subject matter.'" Enfish LLC v. Microsoft Corp., 822 F.3d 1327, 1335 (Fed. Cir. 2016) (quoting Internet Patents Corp. v. Active Network, Inc., 790 F.3d 1343, 1346 (Fed. Cir. 2015)). Because "[s]oftware can make non-abstract improvements to computer technology," it is "relevant to ask whether [computer-related] claims are directed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improvement to computer functionality versus being directed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abstract idea." Id. at 1335.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However, "claims focused on collecting information, analyzing it, and displaying certain results of the collection and analysis are directed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abstract idea." SAP Am., Inc. v. InvestPic, LLC, 898 F.3d 1161, 1167 (Fed. Cir. 2018) (citing Elec. Power Group, LLC v. Alstom S.</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830 F.3d 1350, 1353 (Fed. Cir. 2016)). "Information as such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intangible, hence abstract, and collecting information, including when limited to particular content (which does not change its character as information), is within the realm of abstract ideas. So, too, is analyzing information by mathematical algorithms, without more. And merely presenting the results of abstract processes of collecting and analyzing information, without more (such as identifying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tool for presentation), is abstract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ancillary part of such collection and analysis. " Id. (citations and internal quotation marks omitted).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If the court concludes under step one that the claim is directed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patent-ineligible concept, at </w:t>
      </w:r>
      <w:r>
        <w:rPr>
          <w:rFonts w:ascii="Times New Roman" w:hAnsi="Times New Roman" w:eastAsia="Times New Roman" w:cs="Times New Roman"/>
          <w:b w:val="0"/>
          <w:sz w:val="24"/>
        </w:rPr>
        <w:t>Alice</w:t>
      </w:r>
      <w:r>
        <w:rPr>
          <w:rFonts w:ascii="Times New Roman" w:hAnsi="Times New Roman" w:eastAsia="Times New Roman" w:cs="Times New Roman"/>
          <w:b w:val="0"/>
          <w:sz w:val="24"/>
        </w:rPr>
        <w:t xml:space="preserve"> step two, the court must then examine what else there is in the claim. Alice, 573 U.S. at 217 (citing Mayo, 566 U.S. at 76–77). Step two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'inventive concept'—i.e.,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element or combination of elements that is 'sufficient to ensure that the patent in practice amounts to significantly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upon the [ineligible concept] itself.'" Id. at 217–18 (citing Mayo, 566 U.S. at 72).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In considering what else there is in the claim, courts must "consider the elements of each claim both individually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ordered combination' to determine whether the additional elements 'transform the nature of the claim'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patent-eligible application." Id. (citing Mayo, 566 U.S. at 78–79). This inquiry determines whether claims reciting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abstract idea "do significantly more than simply describe that abstract method" and instead "'transform' the claimed abstract idea into patent-eligible subject matter" with "additional features." Ultramercial, Inc. v. Hulu, LLC, 772 F.3d 709, 715 (Fed. Cir. 2014). "Those 'additional features' must be more than 'well-understood, routine, conventional activity.'" Bascom Glob. Internet Servs., Inc. v. AT&amp;T Mobility LLC, 827 F.3d 1341, 1349 (Fed. Cir. 2016) (citing </w:t>
      </w:r>
      <w:r>
        <w:rPr>
          <w:rFonts w:ascii="Times New Roman" w:hAnsi="Times New Roman" w:eastAsia="Times New Roman" w:cs="Times New Roman"/>
          <w:b w:val="0"/>
          <w:sz w:val="24"/>
        </w:rPr>
        <w:t>Alice</w:t>
      </w:r>
      <w:r>
        <w:rPr>
          <w:rFonts w:ascii="Times New Roman" w:hAnsi="Times New Roman" w:eastAsia="Times New Roman" w:cs="Times New Roman"/>
          <w:b w:val="0"/>
          <w:sz w:val="24"/>
        </w:rPr>
        <w:t xml:space="preserve">, 573 U.S. at 223) (explaining that claim steps requiring "electronic recordkeeping" and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to obtain data, adjust account balances, and issue automated instructions" do "no more than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generic computer to perform generic computer functions")).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CLAIM [Claim Number of Representative Claim] RECITES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ABSTRACT IDEA</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Like the patent claims at issue in </w:t>
      </w:r>
      <w:r>
        <w:rPr>
          <w:rFonts w:ascii="Times New Roman" w:hAnsi="Times New Roman" w:eastAsia="Times New Roman" w:cs="Times New Roman"/>
          <w:b w:val="0"/>
          <w:sz w:val="24"/>
        </w:rPr>
        <w:t>SAP</w:t>
      </w:r>
      <w:r>
        <w:rPr>
          <w:rFonts w:ascii="Times New Roman" w:hAnsi="Times New Roman" w:eastAsia="Times New Roman" w:cs="Times New Roman"/>
          <w:b w:val="0"/>
          <w:sz w:val="24"/>
        </w:rPr>
        <w:t xml:space="preserve">, the focus of the representative claim is not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technological improvement,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improved computer or network. As in </w:t>
      </w:r>
      <w:r>
        <w:rPr>
          <w:rFonts w:ascii="Times New Roman" w:hAnsi="Times New Roman" w:eastAsia="Times New Roman" w:cs="Times New Roman"/>
          <w:b w:val="0"/>
          <w:sz w:val="24"/>
        </w:rPr>
        <w:t>SAP</w:t>
      </w:r>
      <w:r>
        <w:rPr>
          <w:rFonts w:ascii="Times New Roman" w:hAnsi="Times New Roman" w:eastAsia="Times New Roman" w:cs="Times New Roman"/>
          <w:b w:val="0"/>
          <w:sz w:val="24"/>
        </w:rPr>
        <w:t xml:space="preserve">, the focus of the representative claim is merely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improved mathematical analysis of data, and the specification indicates that off-the-shelf computer technology may be used for the analysis. Collecting data, analyzing it, and displaying the results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screen is, indisputably,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abstract idea. See SAP, 898 F.3d at 1167.</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CLAIM [Claim Number of Representative Claim] IS REPRESENTATIVE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SUBJECT MATTER ELIGIBILITY ANALYSIS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It is appropriate to treat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as representative for the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subject matter eligibility analysis when the claims at issue are similar and are linked to the same abstract idea. See, e.g., Content Extraction &amp; Transmission LLC v. Wells Fargo Bank, Nat. Ass'n, 776 F.3d 1343, 1348 (Fed. Cir. 2014).</w:t>
      </w:r>
    </w:p>
    <w:p>
      <w:pPr>
        <w:keepNext w:val="0"/>
        <w:spacing w:before="120" w:after="0" w:line="260" w:lineRule="exact"/>
        <w:ind w:left="1440" w:right="0" w:firstLine="240"/>
        <w:jc w:val="left"/>
      </w:pPr>
      <w:r>
        <w:rPr>
          <w:rFonts w:ascii="Times New Roman" w:hAnsi="Times New Roman" w:eastAsia="Times New Roman" w:cs="Times New Roman"/>
          <w:b w:val="0"/>
          <w:sz w:val="24"/>
        </w:rPr>
        <w:t>Representative claim [claim number of representative claim] is substantially similar to the other asserted claims and is directed to the same abstract idea of [description of the abstract idea] as the other asserted claims. [Explain]</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 [Claim Number of Representative Claim] ADDS NO INVENTIVE CONCEPT TO THE ABSTRACT IDEA</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second step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Alice</w:t>
      </w:r>
      <w:r>
        <w:rPr>
          <w:rFonts w:ascii="Times New Roman" w:hAnsi="Times New Roman" w:eastAsia="Times New Roman" w:cs="Times New Roman"/>
          <w:b w:val="0"/>
          <w:sz w:val="24"/>
        </w:rPr>
        <w:t xml:space="preserve"> analysis looks more precisely at what the claim elements add and whether they amount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inventive concept in the application of the abstract idea. SAP, 898 F.3d at 1167. As in SAP, the representative claim adds only well-understood, routine, and conventional activity to the abstract idea. [Explain].</w:t>
      </w:r>
    </w:p>
    <w:p>
      <w:pPr>
        <w:keepNext w:val="0"/>
        <w:spacing w:before="120" w:after="0" w:line="260" w:lineRule="exact"/>
        <w:ind w:left="72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the above-stated reasons, this motion to dismiss should be granted, and the complaint should be dismissed with prejudice.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[Defendant's Name]'s Memorandum In Support Of Its Motion To Dismiss Under Fed. R. Civ. P. 12(B)(6)was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