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Rule 9019 Motion to Approve Settlement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DEBTORS' MOTION PURSUANT TO BANKRUPTCY RULE 9019</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FOR ENTRY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APPROVING THE SETTLEMENT OF [DETAIL]</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Section[s] [105, 363(b), and other relevant section]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 9019(</w:t>
      </w:r>
      <w:r>
        <w:rPr>
          <w:rFonts w:ascii="Times New Roman" w:hAnsi="Times New Roman" w:eastAsia="Times New Roman" w:cs="Times New Roman"/>
          <w:b/>
          <w:sz w:val="24"/>
        </w:rPr>
        <w:t>a</w:t>
      </w:r>
      <w:r>
        <w:rPr>
          <w:rFonts w:ascii="Times New Roman" w:hAnsi="Times New Roman" w:eastAsia="Times New Roman" w:cs="Times New Roman"/>
          <w:b w:val="0"/>
          <w:sz w:val="24"/>
        </w:rPr>
        <w:t>)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authorizing the Debtors to enter into and approving the settlement agreement with [counter-party name] (the "[Creditor]") in the form attached hereto as Exhibit B (the "</w:t>
      </w:r>
      <w:r>
        <w:rPr>
          <w:rFonts w:ascii="Times New Roman" w:hAnsi="Times New Roman" w:eastAsia="Times New Roman" w:cs="Times New Roman"/>
          <w:b w:val="0"/>
          <w:sz w:val="24"/>
        </w:rPr>
        <w:t>Settlement Agreement</w:t>
      </w:r>
      <w:r>
        <w:rPr>
          <w:rFonts w:ascii="Times New Roman" w:hAnsi="Times New Roman" w:eastAsia="Times New Roman" w:cs="Times New Roman"/>
          <w:b w:val="0"/>
          <w:sz w:val="24"/>
        </w:rPr>
        <w:t>"). In support of the Motion, the Debtors respectfully state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and [Creditor] [describe the parties' relationship and any relevant agreements.]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and [Creditor] [describe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settlement] (the "</w:t>
      </w:r>
      <w:r>
        <w:rPr>
          <w:rFonts w:ascii="Times New Roman" w:hAnsi="Times New Roman" w:eastAsia="Times New Roman" w:cs="Times New Roman"/>
          <w:b w:val="0"/>
          <w:sz w:val="24"/>
        </w:rPr>
        <w:t>Settlement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 other facts relevant to the motion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facts]</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Movant seeks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Sections[s] [105, 363(b), and other relevant sections] of the Bankruptcy Code and Bankruptcy Rule 9019(</w:t>
      </w:r>
      <w:r>
        <w:rPr>
          <w:rFonts w:ascii="Times New Roman" w:hAnsi="Times New Roman" w:eastAsia="Times New Roman" w:cs="Times New Roman"/>
          <w:b/>
          <w:sz w:val="24"/>
        </w:rPr>
        <w:t>a</w:t>
      </w:r>
      <w:r>
        <w:rPr>
          <w:rFonts w:ascii="Times New Roman" w:hAnsi="Times New Roman" w:eastAsia="Times New Roman" w:cs="Times New Roman"/>
          <w:b w:val="0"/>
          <w:sz w:val="24"/>
        </w:rPr>
        <w:t>), authorizing the Debtors to enter into and approving the Settlement Agreement with [Creditor].</w:t>
      </w:r>
    </w:p>
    <w:p>
      <w:pPr>
        <w:keepNext w:val="0"/>
        <w:spacing w:before="200" w:after="0" w:line="260" w:lineRule="exact"/>
        <w:ind w:left="720" w:right="0" w:firstLine="0"/>
        <w:jc w:val="center"/>
      </w:pPr>
      <w:r>
        <w:rPr>
          <w:rFonts w:ascii="Times New Roman" w:hAnsi="Times New Roman" w:eastAsia="Times New Roman" w:cs="Times New Roman"/>
          <w:b/>
          <w:sz w:val="24"/>
        </w:rPr>
        <w:t>BASIS FOR RELIEF</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Bankruptcy Rule 9019 provides, in pertinent part, that, "on motion by the trustee and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court may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compromise or settlement." Fed. R. Bankr. P. 9019(</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Settlements under Bankruptcy Rule 9019 are favored in bankruptcy as they avoid the expenses associated with litigating claims that can prove burdensome and expensive for the bankruptcy estate. Myers v. Martin (In re Martin), 91 F.3d 389, 393 (3d Cir. 1996). Bankruptcy Rule 9019 does not set forth the criteria for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This leaves the court with wide discretion to approve or reject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Woodson v. Fireman's Fund Ins. Co. (In re Woodson), 839 F.2d 610, 620 (9th Cir. 1988) ("[t]he bankruptcy court has great latitude in approving compromise agreements"). This discretion means that courts are not required to consider each issue of fact or law raised by the settlement.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evaluating settlement approval, courts will determine whether the settlement "falls below the lowest point in the range of reasonableness." In re W.T. Grant Co., 699 F.2d 599, 608 (2d Cir. 1983). In assessing the lowest range of reasonableness, courts will look to whether the settlement is "fair and equitable" and in the "best interests of the estate." In re TCI 2 Holdings, LLC, 428 B.R. 117, 136 (Bankr. D.N.J. 2010).</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reviewing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is fair and equitable and in the best interests of the estate, courts consider the following factors: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probability of success in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likely difficulties in collection;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complexity of the litigation involved, and the expense, inconvenience, and delay necessarily attending it;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paramount interest of creditors.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Will v. Northwestern Univ. (In re Nutraquest, Inc.), 434 F.3d 639, 645 (3d Cir. 2006). In assessing these factors, the court does not need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"mini-trial" on the merits of the claims but must consider whether the settlement is within the range of reasonableness based on the above criteria. As part of this evaluation, the court affords deference to the debtor's business judgment. In re Milazzo, 450 B.R. 363, 376 (Bankr. D. Conn. 2011) ("[c]ompromises are generally approved if they meet the business judgment of the trustee") (citing In re Indian Motorcycle, Inc., 289 B.R. 269, 283 (1st Cir. 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.P. 2003)); see also In re Drexel Burnham Lambert Grp., Inc., 134 B.R. 499, 505 (Bankr. S.D.N.Y. 1991) ("[w]e may give weight to the informed judgments of the trustee or debtor-in-possession and their counsel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compromise is fair and equitable . . .").</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Here, the Debtors respectfully submit that consideration of the relevant factors warrants approval of the Settlement.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Probability of Success in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believe that they would ultimately prevail on their claims against [Creditor]. [provide reason]. However, the Debtors recognize that [Creditor] has several potential defenses to the underlying claims which could reduce or eliminate the amount recoverable from [Creditor]. [add detail concerning defenses] The Debtors' success in litigating this dispute is also uncertain because [add argument].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Thus, the outcome of the litigation is uncertain. See In re Laser Realty, Inc. v. Fernandez (In re Fernandez), 2009 Bankr. LEXIS 2846, at *9-10 (Bankr. D.P.R. Mar. 31, 2009) ("[t]he Court concludes that the uncertainty of the litigation between the debtors and Citibank weighs heavily in favor of the approval of the Settlement Agreement"). The Settlement would eliminate this risk and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benefit to the estate. See Yacovi v. Rubin &amp; Rudman, L.L.P. (In re Yacovi), 411 Fed. Appx. 342, 346-47 (1st Cir. 2011) (settlement providing for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of the damages" claimed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concrete and immediate benefit[]' that the Trustee reasonably concluded outweighed the uncertainty and delay of litigation") (internal citations omitted).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Complexity of the Litigation Involved, and the Expense, Inconvenience, and Delay Attending It.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complexity of the issues, and the expense, inconvenience, and delay caused by litigation with [Creditor] weigh in favor of granting the Motion. Such litigation will involve significant litigation costs, including [formal discovery, fact and expert witnesses, dispositive motions, and potentially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[detail other potential costs].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Absent approval of the Settlement, the Debtors would be required to engage in time-consuming and burdensome litigation involving complex issues. [add detail]. In addition, the Settlement avoids the delays caused by litigation and provides the Debtors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and certain payment. See, e.g., In re Fibercore, Inc., 391 B.R. 647, 656 (Bankr. D. Mass. 2008) ("[t]o pursue the actions which Silica Tech proposes would likely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delay in administering the estate without the guaranty of success -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indeterminable increase in administrative costs."). [add detail]</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Paramount Interest of Creditors.</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interests of the creditors weigh in favor of approving the Settlement. The prompt and efficient resolution of this dispute avoids incurring unnecessary litigation and costs. The Settlement results in payments being made to the Debtors' estates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of claims [Creditor] may have against the estate. Accordingly, the Settlement is in the best interest of the estate and its creditors and should be approved. [add specifics]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the foregoing reasons, the Debtors respectfully submit that the Settlement is well within the range of reasonableness for approval under Bankruptcy Rule 9019(</w:t>
      </w:r>
      <w:r>
        <w:rPr>
          <w:rFonts w:ascii="Times New Roman" w:hAnsi="Times New Roman" w:eastAsia="Times New Roman" w:cs="Times New Roman"/>
          <w:b/>
          <w:sz w:val="24"/>
        </w:rPr>
        <w:t>a</w:t>
      </w:r>
      <w:r>
        <w:rPr>
          <w:rFonts w:ascii="Times New Roman" w:hAnsi="Times New Roman" w:eastAsia="Times New Roman" w:cs="Times New Roman"/>
          <w:b w:val="0"/>
          <w:sz w:val="24"/>
        </w:rPr>
        <w:t>). Accordingly, the Debtors request approval of the Settlement Agreement.</w:t>
      </w:r>
    </w:p>
    <w:p>
      <w:pPr>
        <w:keepNext w:val="0"/>
        <w:spacing w:before="120" w:after="0" w:line="260" w:lineRule="exact"/>
        <w:ind w:left="720" w:right="0" w:firstLine="0"/>
        <w:jc w:val="left"/>
      </w:pP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Debtors have provided notice of this Motion by facsimile and, where practicable, email and/or overnight mail to: [Notice Parties]. Due to the nature of the relief requested herein, Debtors respectfully submit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the Debtors respectfully request that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Settlement Agreement; and (b) grant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Dated: [date] </w:t>
      </w:r>
    </w:p>
    <w:p>
      <w:pPr>
        <w:keepNext w:val="0"/>
        <w:spacing w:before="6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