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SAS 72 Attorney Letter</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[“OPINION FORM LETTERHEAD” OF OPINING LAW FIRM]</w:t>
      </w:r>
    </w:p>
    <w:p>
      <w:pPr>
        <w:keepNext w:val="0"/>
        <w:spacing w:before="200" w:after="0" w:line="260" w:lineRule="exact"/>
        <w:ind w:left="360" w:right="0" w:firstLine="0"/>
        <w:jc w:val="both"/>
      </w:pPr>
      <w:r>
        <w:rPr>
          <w:rFonts w:ascii="Times New Roman" w:hAnsi="Times New Roman" w:eastAsia="Times New Roman" w:cs="Times New Roman"/>
          <w:b w:val="0"/>
          <w:sz w:val="24"/>
        </w:rPr>
        <w:t>[DATE OF OPINION]</w:t>
      </w:r>
    </w:p>
    <w:p>
      <w:pPr>
        <w:keepNext w:val="0"/>
        <w:spacing w:before="200" w:after="0" w:line="260" w:lineRule="exact"/>
        <w:ind w:left="360" w:right="0" w:firstLine="0"/>
        <w:jc w:val="both"/>
      </w:pPr>
      <w:r>
        <w:rPr>
          <w:rFonts w:ascii="Times New Roman" w:hAnsi="Times New Roman" w:eastAsia="Times New Roman" w:cs="Times New Roman"/>
          <w:b w:val="0"/>
          <w:sz w:val="24"/>
        </w:rPr>
        <w:t>[NAME OF ISSUER’S AUDITOR]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AUDITOR INCLUDING C/O ANY PARENT ENTITY]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counsel to the [Agent(s)/ Lead Agent(s)] (as defined below) in connection with that certain distribution agreement dated as of [DATE] (the “Distribution Agreement”), by and among [Issuer’s name] (the “Issuer”) and [[Agents’ Names]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and collectively the “Agents)]/[[Lead agent(s)’ name(s)], as representative(s) (“Lead Agent(s)”) of the Agents listed on Schedule [schedule number], thereto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and, collectively, the “Agents”)], in connection with the offering [from time to time] of [name of securities] (“Securities”) [and that certain terms agreement dated as of [date] ( the “Terms Agreement”), by and among the Issuer and the [Agent(s)]/ [the Lead Agent(s), as representatives of the Agents]. Capitalized terms used herein without definition shall have the respective meanings assigned to such terms in the Distribution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is furnished to you in connection with your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to be dated [date] (the “Comfort Letter”) to the Agent(s), in accordance with Section [number] of the Distribution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Agent(s) will be reviewing certain information relating to the Issuer that will be included or incorporated by reference in the offering documents related to the Securities, which may be delivered to investors and used by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their investment decision. In our opinion, [each/the] Agent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due diligence defense under Section 11 of the Securities Act of 1933, as amended (the “Securities 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would determine that the review taken by the Agent(s) is sufficient to sustain the statutory due diligence defense if asserted by the Agent(s)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brought against [it/them] under Section 11 of the Securities Act.</w:t>
      </w:r>
    </w:p>
    <w:p>
      <w:pPr>
        <w:keepNext w:val="0"/>
        <w:spacing w:before="200" w:after="0" w:line="260" w:lineRule="exact"/>
        <w:ind w:left="360" w:right="0" w:firstLine="0"/>
        <w:jc w:val="both"/>
      </w:pPr>
      <w:r>
        <w:rPr>
          <w:rFonts w:ascii="Times New Roman" w:hAnsi="Times New Roman" w:eastAsia="Times New Roman" w:cs="Times New Roman"/>
          <w:b w:val="0"/>
          <w:sz w:val="24"/>
        </w:rPr>
        <w:t>In rendering this opinion, we do not express any opinion concerning any law other than the laws of the state of [New York] and the federal laws of the United States. We do not express any opinion with respect to any matter not specifically addressed in this opinion and no other opinion should be inferred beyond the matters expressly stated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furnishing this letter to you solely for your benefit in connection with your delivery of the Comfort Letter. The opinion contained herein is not to be relied on or furnished to any other person or entity or used, circulated, quoted or referred to, in whole or in part, for any other purpose without our express written consent. This letter is not to be filed with any governmental agency or any person without our express written consent, except as required by applicable law, or by order of any court or governmental agency. The opinion expressed herein is made only as of the date hereof and cannot be relied upon with respect to events that occur subsequent to the issuance of this letter. We do not undertake by delivery of this letter or otherwise to advise you of any change in any matter set forth herein, whether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law or change in any fact arising subsequent to the date hereof, that might impact the opinion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