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Sale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Purchase and Sale Agreement (the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is made between the Seller and Buyer identified hereinbelow.  This Agreement shall be deemed effective  (“</w:t>
      </w:r>
      <w:r>
        <w:rPr>
          <w:rFonts w:ascii="Times New Roman" w:hAnsi="Times New Roman" w:eastAsia="Times New Roman" w:cs="Times New Roman"/>
          <w:b w:val="0"/>
          <w:sz w:val="24"/>
        </w:rPr>
        <w:t>Effective Date</w:t>
      </w:r>
      <w:r>
        <w:rPr>
          <w:rFonts w:ascii="Times New Roman" w:hAnsi="Times New Roman" w:eastAsia="Times New Roman" w:cs="Times New Roman"/>
          <w:b w:val="0"/>
          <w:sz w:val="24"/>
        </w:rPr>
        <w:t>”) on the date of the last of the signatures by Seller and Buyer as parties to this Agreement and by Title Company named herein acknowledging receipt of the Earnest Money required hereunder.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Buyer must deliver the Earnest Money to Title Company (by cashier’s check or other form of good funds) and obtain Title Company’s signature before the Earnest Money Deadline provided in Section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for this Agreement to be effective.</w:t>
      </w:r>
    </w:p>
    <w:p>
      <w:pPr>
        <w:keepNext w:val="0"/>
        <w:spacing w:before="200" w:after="0" w:line="260" w:lineRule="exact"/>
        <w:ind w:left="360" w:right="0" w:firstLine="0"/>
        <w:jc w:val="both"/>
      </w:pPr>
      <w:r>
        <w:rPr>
          <w:rFonts w:ascii="Times New Roman" w:hAnsi="Times New Roman" w:eastAsia="Times New Roman" w:cs="Times New Roman"/>
          <w:b w:val="0"/>
          <w:sz w:val="24"/>
        </w:rPr>
        <w:t>IN CONSIDERATION of the respective agreements set forth in this Agreement, Seller and Buyer agree as follows:</w:t>
      </w:r>
    </w:p>
    <w:p>
      <w:pPr>
        <w:keepNext w:val="0"/>
        <w:spacing w:before="200" w:after="0" w:line="260" w:lineRule="exact"/>
        <w:ind w:left="720" w:right="0" w:firstLine="0"/>
        <w:jc w:val="both"/>
      </w:pPr>
      <w:r>
        <w:rPr>
          <w:rFonts w:ascii="Times New Roman" w:hAnsi="Times New Roman" w:eastAsia="Times New Roman" w:cs="Times New Roman"/>
          <w:b/>
          <w:sz w:val="24"/>
        </w:rPr>
        <w:t>Seller: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[name of entity],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Texas [type of entity]</w:t>
      </w:r>
    </w:p>
    <w:p>
      <w:pPr>
        <w:keepNext w:val="0"/>
        <w:spacing w:before="200" w:after="0" w:line="260" w:lineRule="exact"/>
        <w:ind w:left="720" w:right="0" w:firstLine="0"/>
        <w:jc w:val="both"/>
      </w:pPr>
      <w:r>
        <w:rPr>
          <w:rFonts w:ascii="Times New Roman" w:hAnsi="Times New Roman" w:eastAsia="Times New Roman" w:cs="Times New Roman"/>
          <w:b w:val="0"/>
          <w:sz w:val="24"/>
        </w:rPr>
        <w:t>Address: [address]</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Phone: [phone number]</w:t>
      </w:r>
    </w:p>
    <w:p>
      <w:pPr>
        <w:keepNext w:val="0"/>
        <w:spacing w:before="200" w:after="0" w:line="260" w:lineRule="exact"/>
        <w:ind w:left="720" w:right="0" w:firstLine="0"/>
        <w:jc w:val="both"/>
      </w:pPr>
      <w:r>
        <w:rPr>
          <w:rFonts w:ascii="Times New Roman" w:hAnsi="Times New Roman" w:eastAsia="Times New Roman" w:cs="Times New Roman"/>
          <w:b w:val="0"/>
          <w:sz w:val="24"/>
        </w:rPr>
        <w:t>Fax: [fax number]</w:t>
      </w:r>
    </w:p>
    <w:p>
      <w:pPr>
        <w:keepNext w:val="0"/>
        <w:spacing w:before="200" w:after="0" w:line="260" w:lineRule="exact"/>
        <w:ind w:left="720" w:right="0" w:firstLine="0"/>
        <w:jc w:val="both"/>
      </w:pPr>
      <w:r>
        <w:rPr>
          <w:rFonts w:ascii="Times New Roman" w:hAnsi="Times New Roman" w:eastAsia="Times New Roman" w:cs="Times New Roman"/>
          <w:b/>
          <w:sz w:val="24"/>
        </w:rPr>
        <w:t>Buyer: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[name of entity],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Texas [type of entity],</w:t>
      </w:r>
    </w:p>
    <w:p>
      <w:pPr>
        <w:keepNext w:val="0"/>
        <w:spacing w:before="200" w:after="0" w:line="260" w:lineRule="exact"/>
        <w:ind w:left="720" w:right="0" w:firstLine="0"/>
        <w:jc w:val="both"/>
      </w:pPr>
      <w:r>
        <w:rPr>
          <w:rFonts w:ascii="Times New Roman" w:hAnsi="Times New Roman" w:eastAsia="Times New Roman" w:cs="Times New Roman"/>
          <w:b w:val="0"/>
          <w:sz w:val="24"/>
        </w:rPr>
        <w:t>Trustee or Assigns</w:t>
      </w:r>
    </w:p>
    <w:p>
      <w:pPr>
        <w:keepNext w:val="0"/>
        <w:spacing w:before="200" w:after="0" w:line="260" w:lineRule="exact"/>
        <w:ind w:left="720" w:right="0" w:firstLine="0"/>
        <w:jc w:val="both"/>
      </w:pPr>
      <w:r>
        <w:rPr>
          <w:rFonts w:ascii="Times New Roman" w:hAnsi="Times New Roman" w:eastAsia="Times New Roman" w:cs="Times New Roman"/>
          <w:b w:val="0"/>
          <w:sz w:val="24"/>
        </w:rPr>
        <w:t>Address: [address]</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Phone: [phone number]</w:t>
      </w:r>
    </w:p>
    <w:p>
      <w:pPr>
        <w:keepNext w:val="0"/>
        <w:spacing w:before="200" w:after="0" w:line="260" w:lineRule="exact"/>
        <w:ind w:left="720" w:right="0" w:firstLine="0"/>
        <w:jc w:val="both"/>
      </w:pPr>
      <w:r>
        <w:rPr>
          <w:rFonts w:ascii="Times New Roman" w:hAnsi="Times New Roman" w:eastAsia="Times New Roman" w:cs="Times New Roman"/>
          <w:b w:val="0"/>
          <w:sz w:val="24"/>
        </w:rPr>
        <w:t>Fax: [fax number]</w:t>
      </w:r>
    </w:p>
    <w:p>
      <w:pPr>
        <w:keepNext w:val="0"/>
        <w:spacing w:before="200" w:after="0" w:line="260" w:lineRule="exact"/>
        <w:ind w:left="720" w:right="0" w:firstLine="0"/>
        <w:jc w:val="both"/>
      </w:pPr>
      <w:r>
        <w:rPr>
          <w:rFonts w:ascii="Times New Roman" w:hAnsi="Times New Roman" w:eastAsia="Times New Roman" w:cs="Times New Roman"/>
          <w:b/>
          <w:sz w:val="24"/>
        </w:rPr>
        <w:t>Purchase Price:</w:t>
      </w:r>
    </w:p>
    <w:p>
      <w:pPr>
        <w:keepNext w:val="0"/>
        <w:spacing w:before="200" w:after="0" w:line="260" w:lineRule="exact"/>
        <w:ind w:left="720" w:right="0" w:firstLine="0"/>
        <w:jc w:val="both"/>
      </w:pPr>
      <w:r>
        <w:rPr>
          <w:rFonts w:ascii="Times New Roman" w:hAnsi="Times New Roman" w:eastAsia="Times New Roman" w:cs="Times New Roman"/>
          <w:b w:val="0"/>
          <w:sz w:val="24"/>
        </w:rPr>
        <w:t>Cash portion: $[amount]</w:t>
      </w:r>
    </w:p>
    <w:p>
      <w:pPr>
        <w:keepNext w:val="0"/>
        <w:spacing w:before="200" w:after="0" w:line="260" w:lineRule="exact"/>
        <w:ind w:left="720" w:right="0" w:firstLine="0"/>
        <w:jc w:val="both"/>
      </w:pPr>
      <w:r>
        <w:rPr>
          <w:rFonts w:ascii="Times New Roman" w:hAnsi="Times New Roman" w:eastAsia="Times New Roman" w:cs="Times New Roman"/>
          <w:b w:val="0"/>
          <w:sz w:val="24"/>
        </w:rPr>
        <w:t>Third-party-financed portion: $[amount]</w:t>
      </w:r>
    </w:p>
    <w:p>
      <w:pPr>
        <w:keepNext w:val="0"/>
        <w:spacing w:before="200" w:after="0" w:line="260" w:lineRule="exact"/>
        <w:ind w:left="720" w:right="0" w:firstLine="0"/>
        <w:jc w:val="both"/>
      </w:pPr>
      <w:r>
        <w:rPr>
          <w:rFonts w:ascii="Times New Roman" w:hAnsi="Times New Roman" w:eastAsia="Times New Roman" w:cs="Times New Roman"/>
          <w:b w:val="0"/>
          <w:sz w:val="24"/>
        </w:rPr>
        <w:t>Total purchase price: $[amount]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Purchase Price shall be payable in United States Dollars, cash or cash equivalent.  The Purchase Price shall be paid at Closing as provided in Section </w:t>
      </w:r>
      <w:r>
        <w:rPr>
          <w:rFonts w:ascii="Times New Roman" w:hAnsi="Times New Roman" w:eastAsia="Times New Roman" w:cs="Times New Roman"/>
          <w:b w:val="0"/>
          <w:sz w:val="24"/>
        </w:rPr>
        <w:t>K.</w:t>
      </w:r>
      <w:r>
        <w:rPr>
          <w:rFonts w:ascii="Times New Roman" w:hAnsi="Times New Roman" w:eastAsia="Times New Roman" w:cs="Times New Roman"/>
          <w:b w:val="0"/>
          <w:sz w:val="24"/>
        </w:rPr>
        <w:t>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herein below or otherwise mutually agreed upon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Seller and Buyer.</w:t>
      </w:r>
    </w:p>
    <w:p>
      <w:pPr>
        <w:keepNext w:val="0"/>
        <w:spacing w:before="200" w:after="0" w:line="260" w:lineRule="exact"/>
        <w:ind w:left="720" w:right="0" w:firstLine="0"/>
        <w:jc w:val="both"/>
      </w:pPr>
      <w:r>
        <w:rPr>
          <w:rFonts w:ascii="Times New Roman" w:hAnsi="Times New Roman" w:eastAsia="Times New Roman" w:cs="Times New Roman"/>
          <w:b w:val="0"/>
          <w:sz w:val="24"/>
        </w:rPr>
        <w:t>Earnest Money: $[amount]</w:t>
      </w:r>
    </w:p>
    <w:p>
      <w:pPr>
        <w:keepNext w:val="0"/>
        <w:spacing w:before="200" w:after="0" w:line="260" w:lineRule="exact"/>
        <w:ind w:left="720" w:right="0" w:firstLine="0"/>
        <w:jc w:val="both"/>
      </w:pPr>
      <w:r>
        <w:rPr>
          <w:rFonts w:ascii="Times New Roman" w:hAnsi="Times New Roman" w:eastAsia="Times New Roman" w:cs="Times New Roman"/>
          <w:b w:val="0"/>
          <w:sz w:val="24"/>
        </w:rPr>
        <w:t>Additional Earnest Money: $[amount]</w:t>
      </w:r>
    </w:p>
    <w:p>
      <w:pPr>
        <w:keepNext w:val="0"/>
        <w:spacing w:before="200" w:after="0" w:line="260" w:lineRule="exact"/>
        <w:ind w:left="720" w:right="0" w:firstLine="0"/>
        <w:jc w:val="both"/>
      </w:pPr>
      <w:r>
        <w:rPr>
          <w:rFonts w:ascii="Times New Roman" w:hAnsi="Times New Roman" w:eastAsia="Times New Roman" w:cs="Times New Roman"/>
          <w:b/>
          <w:sz w:val="24"/>
        </w:rPr>
        <w:t>Seller’s Broker:</w:t>
      </w:r>
    </w:p>
    <w:p>
      <w:pPr>
        <w:keepNext w:val="0"/>
        <w:spacing w:before="200" w:after="0" w:line="260" w:lineRule="exact"/>
        <w:ind w:left="720" w:right="0" w:firstLine="0"/>
        <w:jc w:val="both"/>
      </w:pPr>
      <w:r>
        <w:rPr>
          <w:rFonts w:ascii="Times New Roman" w:hAnsi="Times New Roman" w:eastAsia="Times New Roman" w:cs="Times New Roman"/>
          <w:b w:val="0"/>
          <w:sz w:val="24"/>
        </w:rPr>
        <w:t>[name of company], Attn: [agent’s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 [address]</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Phone: [phone number]</w:t>
      </w:r>
    </w:p>
    <w:p>
      <w:pPr>
        <w:keepNext w:val="0"/>
        <w:spacing w:before="200" w:after="0" w:line="260" w:lineRule="exact"/>
        <w:ind w:left="720" w:right="0" w:firstLine="0"/>
        <w:jc w:val="both"/>
      </w:pPr>
      <w:r>
        <w:rPr>
          <w:rFonts w:ascii="Times New Roman" w:hAnsi="Times New Roman" w:eastAsia="Times New Roman" w:cs="Times New Roman"/>
          <w:b w:val="0"/>
          <w:sz w:val="24"/>
        </w:rPr>
        <w:t>Fax: [fax number]</w:t>
      </w:r>
    </w:p>
    <w:p>
      <w:pPr>
        <w:keepNext w:val="0"/>
        <w:spacing w:before="200" w:after="0" w:line="260" w:lineRule="exact"/>
        <w:ind w:left="720" w:right="0" w:firstLine="0"/>
        <w:jc w:val="both"/>
      </w:pPr>
      <w:r>
        <w:rPr>
          <w:rFonts w:ascii="Times New Roman" w:hAnsi="Times New Roman" w:eastAsia="Times New Roman" w:cs="Times New Roman"/>
          <w:b/>
          <w:sz w:val="24"/>
        </w:rPr>
        <w:t>Buyer’s Broker:</w:t>
      </w:r>
    </w:p>
    <w:p>
      <w:pPr>
        <w:keepNext w:val="0"/>
        <w:spacing w:before="200" w:after="0" w:line="260" w:lineRule="exact"/>
        <w:ind w:left="720" w:right="0" w:firstLine="0"/>
        <w:jc w:val="both"/>
      </w:pPr>
      <w:r>
        <w:rPr>
          <w:rFonts w:ascii="Times New Roman" w:hAnsi="Times New Roman" w:eastAsia="Times New Roman" w:cs="Times New Roman"/>
          <w:b w:val="0"/>
          <w:sz w:val="24"/>
        </w:rPr>
        <w:t>[name of company], Attn: [agent’s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 [address]</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Phone: [phone number]</w:t>
      </w:r>
    </w:p>
    <w:p>
      <w:pPr>
        <w:keepNext w:val="0"/>
        <w:spacing w:before="200" w:after="0" w:line="260" w:lineRule="exact"/>
        <w:ind w:left="720" w:right="0" w:firstLine="0"/>
        <w:jc w:val="both"/>
      </w:pPr>
      <w:r>
        <w:rPr>
          <w:rFonts w:ascii="Times New Roman" w:hAnsi="Times New Roman" w:eastAsia="Times New Roman" w:cs="Times New Roman"/>
          <w:b w:val="0"/>
          <w:sz w:val="24"/>
        </w:rPr>
        <w:t>Fax: [fax number]</w:t>
      </w:r>
    </w:p>
    <w:p>
      <w:pPr>
        <w:keepNext w:val="0"/>
        <w:spacing w:before="200" w:after="0" w:line="260" w:lineRule="exact"/>
        <w:ind w:left="720" w:right="0" w:firstLine="0"/>
        <w:jc w:val="both"/>
      </w:pPr>
      <w:r>
        <w:rPr>
          <w:rFonts w:ascii="Times New Roman" w:hAnsi="Times New Roman" w:eastAsia="Times New Roman" w:cs="Times New Roman"/>
          <w:b/>
          <w:sz w:val="24"/>
        </w:rPr>
        <w:t>Property:</w:t>
      </w:r>
      <w:r>
        <w:rPr>
          <w:rFonts w:ascii="Times New Roman" w:hAnsi="Times New Roman" w:eastAsia="Times New Roman" w:cs="Times New Roman"/>
          <w:b w:val="0"/>
          <w:sz w:val="24"/>
        </w:rPr>
        <w:t xml:space="preserve"> The land, improvements, accessories, and crops, collectively referred to as the “Property,” described as follows: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LAND: That certain real property situated in [county] County, Texas, more particularly described as follows:</w:t>
      </w:r>
    </w:p>
    <w:p>
      <w:pPr>
        <w:keepNext w:val="0"/>
        <w:spacing w:before="200" w:after="0" w:line="260" w:lineRule="exact"/>
        <w:ind w:left="1440" w:right="0" w:firstLine="0"/>
        <w:jc w:val="both"/>
      </w:pPr>
      <w:r>
        <w:rPr>
          <w:rFonts w:ascii="Times New Roman" w:hAnsi="Times New Roman" w:eastAsia="Times New Roman" w:cs="Times New Roman"/>
          <w:b w:val="0"/>
          <w:sz w:val="24"/>
        </w:rPr>
        <w:t>See Exhibit “</w:t>
      </w:r>
      <w:r>
        <w:rPr>
          <w:rFonts w:ascii="Times New Roman" w:hAnsi="Times New Roman" w:eastAsia="Times New Roman" w:cs="Times New Roman"/>
          <w:b/>
          <w:sz w:val="24"/>
        </w:rPr>
        <w:t>A</w:t>
      </w:r>
      <w:r>
        <w:rPr>
          <w:rFonts w:ascii="Times New Roman" w:hAnsi="Times New Roman" w:eastAsia="Times New Roman" w:cs="Times New Roman"/>
          <w:b w:val="0"/>
          <w:sz w:val="24"/>
        </w:rPr>
        <w:t>” attached hereto and incorporated herein by reference</w:t>
      </w:r>
      <w:r>
        <w:rPr>
          <w:rFonts w:ascii="Times New Roman" w:hAnsi="Times New Roman" w:eastAsia="Times New Roman" w:cs="Times New Roman"/>
          <w:b w:val="0"/>
          <w:sz w:val="24"/>
        </w:rPr>
        <w:t xml:space="preserve">, together with all rights, easements, rights of way, privileges, appurtenances, water rights, claims, permits, strips and gores, cooperative or association memberships, and other rights pertaining to the Land.  </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IMPROVEMENTS:  The following permanently fixtures and equipment, installed personal property and built-in items, if any:  ALL buildings, residences, mobile homes, fences, barns, wells and well equipment, and all other fixtures and improvements attached to the above-described real property, including without limitation, the following permanently installed and built-in items, if 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[improvement],  (b) [improvement], (c) all equipment and appliances, heating and air-conditioning units, security and fire detection equipment, wiring, plumbing and lighting fixtures, kitchen equipment, and (d) all other personal property owned by Seller and attached to the above described real property.  </w:t>
        <w:tab/>
        <w:t>[</w:t>
      </w:r>
      <w:r>
        <w:rPr>
          <w:rFonts w:ascii="Times New Roman" w:hAnsi="Times New Roman" w:eastAsia="Times New Roman" w:cs="Times New Roman"/>
          <w:b/>
          <w:sz w:val="24"/>
        </w:rPr>
        <w:t>Alternate Clause to Subsection (d):</w:t>
      </w:r>
      <w:r>
        <w:rPr>
          <w:rFonts w:ascii="Times New Roman" w:hAnsi="Times New Roman" w:eastAsia="Times New Roman" w:cs="Times New Roman"/>
          <w:b w:val="0"/>
          <w:sz w:val="24"/>
        </w:rPr>
        <w:t xml:space="preserve"> (d) the fixtures, equipment, furniture, and all other personal property described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-1” attached hereto and incorporated herein by reference.]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FARM AND RANCH ACCESSORIES.  All accessories relating to the Land including, without limitation, portable buildings, hunting blinds, game and livestock feeders and troughs, irrigation equipment, fuel tanks, water pumps and tanks, corrals and gates, and livestock handling equipment.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CROPS.  Presently growing crops shall belong to Seller until the Closing Date.</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EXCLUSIONS OR RESERVATIONS: [list of exclusions or reservations]</w:t>
      </w:r>
    </w:p>
    <w:p>
      <w:pPr>
        <w:keepNext w:val="0"/>
        <w:spacing w:before="200" w:after="0" w:line="260" w:lineRule="exact"/>
        <w:ind w:left="720" w:right="0" w:firstLine="0"/>
        <w:jc w:val="both"/>
      </w:pPr>
      <w:r>
        <w:rPr>
          <w:rFonts w:ascii="Times New Roman" w:hAnsi="Times New Roman" w:eastAsia="Times New Roman" w:cs="Times New Roman"/>
          <w:b/>
          <w:sz w:val="24"/>
        </w:rPr>
        <w:t>Title Company:</w:t>
      </w:r>
      <w:r>
        <w:rPr>
          <w:rFonts w:ascii="Times New Roman" w:hAnsi="Times New Roman" w:eastAsia="Times New Roman" w:cs="Times New Roman"/>
          <w:b w:val="0"/>
          <w:sz w:val="24"/>
        </w:rPr>
        <w:t xml:space="preserve"> [name of title company] Title Co.–[branch name / city name] [closer’s name], who shall also serve as the escrow agent hereunder.</w:t>
      </w:r>
    </w:p>
    <w:p>
      <w:pPr>
        <w:keepNext w:val="0"/>
        <w:spacing w:before="200" w:after="0" w:line="260" w:lineRule="exact"/>
        <w:ind w:left="720" w:right="0" w:firstLine="0"/>
        <w:jc w:val="both"/>
      </w:pPr>
      <w:r>
        <w:rPr>
          <w:rFonts w:ascii="Times New Roman" w:hAnsi="Times New Roman" w:eastAsia="Times New Roman" w:cs="Times New Roman"/>
          <w:b w:val="0"/>
          <w:sz w:val="24"/>
        </w:rPr>
        <w:t>Address: [address]</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Phone: [phone number]</w:t>
      </w:r>
    </w:p>
    <w:p>
      <w:pPr>
        <w:keepNext w:val="0"/>
        <w:spacing w:before="200" w:after="0" w:line="260" w:lineRule="exact"/>
        <w:ind w:left="720" w:right="0" w:firstLine="0"/>
        <w:jc w:val="both"/>
      </w:pPr>
      <w:r>
        <w:rPr>
          <w:rFonts w:ascii="Times New Roman" w:hAnsi="Times New Roman" w:eastAsia="Times New Roman" w:cs="Times New Roman"/>
          <w:b w:val="0"/>
          <w:sz w:val="24"/>
        </w:rPr>
        <w:t>Fax: [fax number]</w:t>
      </w:r>
    </w:p>
    <w:p>
      <w:pPr>
        <w:keepNext w:val="0"/>
        <w:spacing w:before="200" w:after="0" w:line="260" w:lineRule="exact"/>
        <w:ind w:left="720" w:right="0" w:firstLine="0"/>
        <w:jc w:val="both"/>
      </w:pPr>
      <w:r>
        <w:rPr>
          <w:rFonts w:ascii="Times New Roman" w:hAnsi="Times New Roman" w:eastAsia="Times New Roman" w:cs="Times New Roman"/>
          <w:b/>
          <w:sz w:val="24"/>
        </w:rPr>
        <w:t>Surveyor:</w:t>
      </w:r>
      <w:r>
        <w:rPr>
          <w:rFonts w:ascii="Times New Roman" w:hAnsi="Times New Roman" w:eastAsia="Times New Roman" w:cs="Times New Roman"/>
          <w:b w:val="0"/>
          <w:sz w:val="24"/>
        </w:rPr>
        <w:t xml:space="preserve"> [name]</w:t>
      </w:r>
    </w:p>
    <w:p>
      <w:pPr>
        <w:keepNext w:val="0"/>
        <w:spacing w:before="200" w:after="0" w:line="260" w:lineRule="exact"/>
        <w:ind w:left="720" w:right="0" w:firstLine="0"/>
        <w:jc w:val="both"/>
      </w:pPr>
      <w:r>
        <w:rPr>
          <w:rFonts w:ascii="Times New Roman" w:hAnsi="Times New Roman" w:eastAsia="Times New Roman" w:cs="Times New Roman"/>
          <w:b/>
          <w:sz w:val="24"/>
        </w:rPr>
        <w:t>Survey Required:</w:t>
      </w:r>
      <w:r>
        <w:rPr>
          <w:rFonts w:ascii="Times New Roman" w:hAnsi="Times New Roman" w:eastAsia="Times New Roman" w:cs="Times New Roman"/>
          <w:b w:val="0"/>
          <w:sz w:val="24"/>
        </w:rPr>
        <w:t xml:space="preserve"> Category 1A</w:t>
      </w:r>
    </w:p>
    <w:p>
      <w:pPr>
        <w:keepNext w:val="0"/>
        <w:spacing w:before="200" w:after="0" w:line="260" w:lineRule="exact"/>
        <w:ind w:left="720" w:right="0" w:firstLine="0"/>
        <w:jc w:val="both"/>
      </w:pPr>
      <w:r>
        <w:rPr>
          <w:rFonts w:ascii="Times New Roman" w:hAnsi="Times New Roman" w:eastAsia="Times New Roman" w:cs="Times New Roman"/>
          <w:b/>
          <w:sz w:val="24"/>
        </w:rPr>
        <w:t>Buyer’s Liquidated Damages:</w:t>
      </w:r>
      <w:r>
        <w:rPr>
          <w:rFonts w:ascii="Times New Roman" w:hAnsi="Times New Roman" w:eastAsia="Times New Roman" w:cs="Times New Roman"/>
          <w:b w:val="0"/>
          <w:sz w:val="24"/>
        </w:rPr>
        <w:t xml:space="preserve"> $[amount]</w:t>
      </w:r>
    </w:p>
    <w:p>
      <w:pPr>
        <w:keepNext w:val="0"/>
        <w:spacing w:before="200" w:after="0" w:line="260" w:lineRule="exact"/>
        <w:ind w:left="720" w:right="0" w:firstLine="0"/>
        <w:jc w:val="both"/>
      </w:pPr>
      <w:r>
        <w:rPr>
          <w:rFonts w:ascii="Times New Roman" w:hAnsi="Times New Roman" w:eastAsia="Times New Roman" w:cs="Times New Roman"/>
          <w:b/>
          <w:sz w:val="24"/>
        </w:rPr>
        <w:t>Seller’s Additional Liquidated Damages:</w:t>
      </w:r>
      <w:r>
        <w:rPr>
          <w:rFonts w:ascii="Times New Roman" w:hAnsi="Times New Roman" w:eastAsia="Times New Roman" w:cs="Times New Roman"/>
          <w:b w:val="0"/>
          <w:sz w:val="24"/>
        </w:rPr>
        <w:t xml:space="preserve"> $[amount]  </w:t>
      </w:r>
    </w:p>
    <w:p>
      <w:pPr>
        <w:keepNext w:val="0"/>
        <w:spacing w:before="200" w:after="0" w:line="260" w:lineRule="exact"/>
        <w:ind w:left="720" w:right="0" w:firstLine="0"/>
        <w:jc w:val="both"/>
      </w:pPr>
      <w:r>
        <w:rPr>
          <w:rFonts w:ascii="Times New Roman" w:hAnsi="Times New Roman" w:eastAsia="Times New Roman" w:cs="Times New Roman"/>
          <w:b/>
          <w:sz w:val="24"/>
        </w:rPr>
        <w:t>County for Performance:</w:t>
      </w:r>
      <w:r>
        <w:rPr>
          <w:rFonts w:ascii="Times New Roman" w:hAnsi="Times New Roman" w:eastAsia="Times New Roman" w:cs="Times New Roman"/>
          <w:b w:val="0"/>
          <w:sz w:val="24"/>
        </w:rPr>
        <w:t xml:space="preserve"> [county] County, Texas</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Deadlines and Other Dates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All deadlines in this Agreement expire at 5:00 P.M. local time where the Property is located.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deadline falls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Saturday, Sunday, or national holiday, the deadline will be extended to the next day that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Saturday, Sunday, or national holiday.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 holiday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holiday designated by the federal government.</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Earnest Money Deadline: One (1) business day after the Effective Date.</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Delivery of Title Commitment: Thirty (30) days after the Effective Date.</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Delivery of Survey: Thirty (30) days after the Effective Date.</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Delivery of legible copies of instruments referenced in the Title Commitment and Survey: Thirty (30) days after the Effective Date.</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Delivery of Title Objections: Fourteen (14) days after delivery of the Title Commitment, Survey, and legible copies of the instruments referenced in them.</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Delivery of Seller’s records as specified on Exhibit “C:” Five (5) days after the Effective Date. </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End of Inspection Period: Sixty (60) days after the Effective Date.</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Closing Date: Ninety (90) days after the Effective Date. (The date on which the purchase transaction described herein shall be consummated, herein the “</w:t>
      </w:r>
      <w:r>
        <w:rPr>
          <w:rFonts w:ascii="Times New Roman" w:hAnsi="Times New Roman" w:eastAsia="Times New Roman" w:cs="Times New Roman"/>
          <w:b w:val="0"/>
          <w:sz w:val="24"/>
        </w:rPr>
        <w:t>Closing</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Closing Time: [time]</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Documents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Seller.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Seller’s attorney shall prepare the General Warranty Deed (with Vendor’s Lien, if applicable) conveying good and indefeasible title to the Property to Buyer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mutually acceptable to Seller and Buyer.  In addition to the General Warranty Deed, Seller shall (if required) prepare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or consent document authorizing the sale of the Property to Buyer and authorizing specific entity managers, members, officers, or partners, as the case may be, to execute the necessary documents to transfer title to the Property to Buyer.</w:t>
      </w:r>
    </w:p>
    <w:p>
      <w:pPr>
        <w:keepNext w:val="0"/>
        <w:spacing w:before="200" w:after="0" w:line="260" w:lineRule="exact"/>
        <w:ind w:left="1080" w:right="0" w:firstLine="0"/>
        <w:jc w:val="both"/>
      </w:pPr>
      <w:r>
        <w:rPr>
          <w:rFonts w:ascii="Times New Roman" w:hAnsi="Times New Roman" w:eastAsia="Times New Roman" w:cs="Times New Roman"/>
          <w:b w:val="0"/>
          <w:sz w:val="24"/>
        </w:rPr>
        <w:t>Seller, at Seller’s sole cost and expense, shall also deliver or cause to be delivered to Buyer the following documents: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non-foreign status to insure Seller’s compliance with Foreign Investment in Real Property Tax Act (“</w:t>
      </w:r>
      <w:r>
        <w:rPr>
          <w:rFonts w:ascii="Times New Roman" w:hAnsi="Times New Roman" w:eastAsia="Times New Roman" w:cs="Times New Roman"/>
          <w:b w:val="0"/>
          <w:sz w:val="24"/>
        </w:rPr>
        <w:t>FIRPTA</w:t>
      </w:r>
      <w:r>
        <w:rPr>
          <w:rFonts w:ascii="Times New Roman" w:hAnsi="Times New Roman" w:eastAsia="Times New Roman" w:cs="Times New Roman"/>
          <w:b w:val="0"/>
          <w:sz w:val="24"/>
        </w:rPr>
        <w:t>”) (Section 1445 of the Internal Revenue Code of 1986, as amended);</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such additional documents and instruments as Buyer or the Title Company may reasonably require to transfer Seller’s interest in the Property pursuant to the terms of this Agreement, each of which shall be in form and substance satisfactory to Buyer, the Title Company and Buyer’s counsel;</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bill of sale and assignment of all personal property, warranties, operating manuals, and data sheets regarding any systems, fixtures, and equipment installed on or about the Property;</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notices, statements, and certificates specified on Exhibit “D” attached hereto and incorporated herein by reference; and</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assignments of leases and other Agreements applicable to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Buyer.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At the Closing, Buyer shall deliver, or cause to be delivered, to Seller in accordance with the terms of this Agreement (i) all cash and other proceeds necessary to pay the Purchase Price less the Earnest Money and pro-rations, (ii) any financing or mortgage documents such as notes, deeds of trust, and loan agreements between Buyer and Seller or third parties, and (iii) evidence of Buyer’s authority to consummate this transaction.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documents listed in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are collectively known as the “</w:t>
      </w:r>
      <w:r>
        <w:rPr>
          <w:rFonts w:ascii="Times New Roman" w:hAnsi="Times New Roman" w:eastAsia="Times New Roman" w:cs="Times New Roman"/>
          <w:b w:val="0"/>
          <w:sz w:val="24"/>
        </w:rPr>
        <w:t>Closing Documents</w:t>
      </w:r>
      <w:r>
        <w:rPr>
          <w:rFonts w:ascii="Times New Roman" w:hAnsi="Times New Roman" w:eastAsia="Times New Roman" w:cs="Times New Roman"/>
          <w:b w:val="0"/>
          <w:sz w:val="24"/>
        </w:rPr>
        <w:t xml:space="preserve">.”  Unless otherwise agreed by the parties before Closing, the Closing Documents will be prepared using the forms contained in the current edition of the </w:t>
      </w:r>
      <w:r>
        <w:rPr>
          <w:rFonts w:ascii="Times New Roman" w:hAnsi="Times New Roman" w:eastAsia="Times New Roman" w:cs="Times New Roman"/>
          <w:b w:val="0"/>
          <w:sz w:val="24"/>
        </w:rPr>
        <w:t>Texas Real Estate Forms Manual (State Bar of Texas)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Exhibits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following are attached to and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Exhibit “</w:t>
      </w:r>
      <w:r>
        <w:rPr>
          <w:rFonts w:ascii="Times New Roman" w:hAnsi="Times New Roman" w:eastAsia="Times New Roman" w:cs="Times New Roman"/>
          <w:b/>
          <w:sz w:val="24"/>
        </w:rPr>
        <w:t>A</w:t>
      </w:r>
      <w:r>
        <w:rPr>
          <w:rFonts w:ascii="Times New Roman" w:hAnsi="Times New Roman" w:eastAsia="Times New Roman" w:cs="Times New Roman"/>
          <w:b w:val="0"/>
          <w:sz w:val="24"/>
        </w:rPr>
        <w:t>” -- Description of the Land</w:t>
      </w:r>
    </w:p>
    <w:p>
      <w:pPr>
        <w:keepNext w:val="0"/>
        <w:spacing w:before="200" w:after="0" w:line="260" w:lineRule="exact"/>
        <w:ind w:left="1440" w:right="0" w:firstLine="0"/>
        <w:jc w:val="both"/>
      </w:pPr>
      <w:r>
        <w:rPr>
          <w:rFonts w:ascii="Times New Roman" w:hAnsi="Times New Roman" w:eastAsia="Times New Roman" w:cs="Times New Roman"/>
          <w:b w:val="0"/>
          <w:sz w:val="24"/>
        </w:rPr>
        <w:t>Exhibit “B” -- Representations and Warranties</w:t>
      </w:r>
    </w:p>
    <w:p>
      <w:pPr>
        <w:keepNext w:val="0"/>
        <w:spacing w:before="200" w:after="0" w:line="260" w:lineRule="exact"/>
        <w:ind w:left="1440" w:right="0" w:firstLine="0"/>
        <w:jc w:val="both"/>
      </w:pPr>
      <w:r>
        <w:rPr>
          <w:rFonts w:ascii="Times New Roman" w:hAnsi="Times New Roman" w:eastAsia="Times New Roman" w:cs="Times New Roman"/>
          <w:b w:val="0"/>
          <w:sz w:val="24"/>
        </w:rPr>
        <w:t>Exhibit “C” -- Seller’s Records</w:t>
      </w:r>
    </w:p>
    <w:p>
      <w:pPr>
        <w:keepNext w:val="0"/>
        <w:spacing w:before="200" w:after="0" w:line="260" w:lineRule="exact"/>
        <w:ind w:left="1440" w:right="0" w:firstLine="0"/>
        <w:jc w:val="both"/>
      </w:pPr>
      <w:r>
        <w:rPr>
          <w:rFonts w:ascii="Times New Roman" w:hAnsi="Times New Roman" w:eastAsia="Times New Roman" w:cs="Times New Roman"/>
          <w:b w:val="0"/>
          <w:sz w:val="24"/>
        </w:rPr>
        <w:t>Exhibit “D” -- Notices, Statements, and Certificates</w:t>
      </w:r>
    </w:p>
    <w:p>
      <w:pPr>
        <w:keepNext w:val="0"/>
        <w:spacing w:before="200" w:after="0" w:line="260" w:lineRule="exact"/>
        <w:ind w:left="1440" w:right="0" w:firstLine="0"/>
        <w:jc w:val="both"/>
      </w:pPr>
      <w:r>
        <w:rPr>
          <w:rFonts w:ascii="Times New Roman" w:hAnsi="Times New Roman" w:eastAsia="Times New Roman" w:cs="Times New Roman"/>
          <w:b w:val="0"/>
          <w:sz w:val="24"/>
        </w:rPr>
        <w:t>Exhibit “E” -- Survey Requirements</w:t>
      </w:r>
    </w:p>
    <w:p>
      <w:pPr>
        <w:keepNext w:val="0"/>
        <w:spacing w:before="200" w:after="0" w:line="260" w:lineRule="exact"/>
        <w:ind w:left="1440" w:right="0" w:firstLine="0"/>
        <w:jc w:val="both"/>
      </w:pPr>
      <w:r>
        <w:rPr>
          <w:rFonts w:ascii="Times New Roman" w:hAnsi="Times New Roman" w:eastAsia="Times New Roman" w:cs="Times New Roman"/>
          <w:b w:val="0"/>
          <w:sz w:val="24"/>
        </w:rPr>
        <w:t>Exhibit “F” -- Reservation of Oil, Gas, and Mineral and Other Interests</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and Sale of Property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Seller agrees to grant, bargain, sell, assign, and convey the Property to Buyer and Buyer agrees to buy and pay Seller for the Property.  The promises of Buyer and Seller to one another as stated in this Agreement are the consideration for the formation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Earnest Money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Buyer will deliver to Title Company on or before the Earnest Money Deadline,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cashier’s check, cash, or other good funds in the amount of the Earnest Money.  The Earnest Money shall be held and disbursed by Title Company in accordance with the terms of this Agreement.  Buyer may direct Title Company to invest the Earnest Money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interest-bearing account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federally insured financial institution by giving notice to Title Company and satisfying Title Company’s requirements for investing the Earnest Money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interest-bearing account.  Any interest earned on the Earnest Money will be paid to the party that becomes entitled to the Earnest Money.</w:t>
      </w:r>
    </w:p>
    <w:p>
      <w:pPr>
        <w:keepNext w:val="0"/>
        <w:spacing w:before="120" w:after="0" w:line="260" w:lineRule="exact"/>
        <w:ind w:left="72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Title and Survey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Review of Title.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following statutory notice is provided to Buyer on behalf of the real estate licensees, if any, involved in this transaction:  </w:t>
      </w:r>
      <w:r>
        <w:rPr>
          <w:rFonts w:ascii="Times New Roman" w:hAnsi="Times New Roman" w:eastAsia="Times New Roman" w:cs="Times New Roman"/>
          <w:b/>
          <w:sz w:val="24"/>
        </w:rPr>
        <w:t xml:space="preserve">Buyer is advised that it should either have the abstract covering the Property examined by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attorney of Buyer’s own selection or be furnished with or obtain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policy of title insurance.  If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title policy is furnished, the Title Commitment should be reviewed by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attorney of Buyer’s choice due to the time limitations on Buyer’s right to object to matters contained therein (see Section </w:t>
      </w:r>
      <w:r>
        <w:rPr>
          <w:rFonts w:ascii="Times New Roman" w:hAnsi="Times New Roman" w:eastAsia="Times New Roman" w:cs="Times New Roman"/>
          <w:b/>
          <w:sz w:val="24"/>
        </w:rPr>
        <w:t>F.</w:t>
      </w:r>
      <w:r>
        <w:rPr>
          <w:rFonts w:ascii="Times New Roman" w:hAnsi="Times New Roman" w:eastAsia="Times New Roman" w:cs="Times New Roman"/>
          <w:b/>
          <w:sz w:val="24"/>
        </w:rPr>
        <w:t>5.</w:t>
      </w:r>
      <w:r>
        <w:rPr>
          <w:rFonts w:ascii="Times New Roman" w:hAnsi="Times New Roman" w:eastAsia="Times New Roman" w:cs="Times New Roman"/>
          <w:b/>
          <w:sz w:val="24"/>
        </w:rPr>
        <w:t xml:space="preserve"> herein below)</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Title Commitment; Title Policy.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Title Commitment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Commitment for Issuance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Owner Policy of Title Insurance by Title Company, as agent for Underwriter, stating the condition of title to the Land.  The “effective date” stated in the Title Commitment must be after the Effective Date of this Agreement.  “</w:t>
      </w:r>
      <w:r>
        <w:rPr>
          <w:rFonts w:ascii="Times New Roman" w:hAnsi="Times New Roman" w:eastAsia="Times New Roman" w:cs="Times New Roman"/>
          <w:b w:val="0"/>
          <w:sz w:val="24"/>
        </w:rPr>
        <w:t>Title Policy</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Owner Policy of Title Insurance issued by Title Company, as agent for Underwriter, in conformity with the last Title Commitment delivered to and approved by Buyer.</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Survey.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Survey</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on-the-ground, staked plat of survey and metes-and-bounds description of the Land, prepared by Surveyor.  </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Delivery of Title Commitment, Survey, and Legible Copies.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Seller must deliver the Title Commitment to Buyer by the deadline stated in Section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the Survey by the deadline stated in Section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and legible copies of the instruments referenced in the Title Commitment and Survey by the deadline stated in Section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4.</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Title Objections.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Buyer shall have until the deadline stated in Section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5.</w:t>
      </w:r>
      <w:r>
        <w:rPr>
          <w:rFonts w:ascii="Times New Roman" w:hAnsi="Times New Roman" w:eastAsia="Times New Roman" w:cs="Times New Roman"/>
          <w:b w:val="0"/>
          <w:sz w:val="24"/>
        </w:rPr>
        <w:t>. (“</w:t>
      </w:r>
      <w:r>
        <w:rPr>
          <w:rFonts w:ascii="Times New Roman" w:hAnsi="Times New Roman" w:eastAsia="Times New Roman" w:cs="Times New Roman"/>
          <w:b w:val="0"/>
          <w:sz w:val="24"/>
        </w:rPr>
        <w:t>Title Objection Deadline</w:t>
      </w:r>
      <w:r>
        <w:rPr>
          <w:rFonts w:ascii="Times New Roman" w:hAnsi="Times New Roman" w:eastAsia="Times New Roman" w:cs="Times New Roman"/>
          <w:b w:val="0"/>
          <w:sz w:val="24"/>
        </w:rPr>
        <w:t>”) to review the Survey, Title Commitment, and legible copies of the title instruments referenced in them and notify Seller of Buyer’s objections to any of them (“</w:t>
      </w:r>
      <w:r>
        <w:rPr>
          <w:rFonts w:ascii="Times New Roman" w:hAnsi="Times New Roman" w:eastAsia="Times New Roman" w:cs="Times New Roman"/>
          <w:b w:val="0"/>
          <w:sz w:val="24"/>
        </w:rPr>
        <w:t>Title Objections</w:t>
      </w:r>
      <w:r>
        <w:rPr>
          <w:rFonts w:ascii="Times New Roman" w:hAnsi="Times New Roman" w:eastAsia="Times New Roman" w:cs="Times New Roman"/>
          <w:b w:val="0"/>
          <w:sz w:val="24"/>
        </w:rPr>
        <w:t>”).  Buyer will be deemed to have approved all matters reflected by the Survey and Title Commitment to which Buyer has made no Title Objection by the Title Objection Deadline.  The matters that Buyer either approves or is deemed to have approved are “</w:t>
      </w:r>
      <w:r>
        <w:rPr>
          <w:rFonts w:ascii="Times New Roman" w:hAnsi="Times New Roman" w:eastAsia="Times New Roman" w:cs="Times New Roman"/>
          <w:b w:val="0"/>
          <w:sz w:val="24"/>
        </w:rPr>
        <w:t>Permitted Exceptions</w:t>
      </w:r>
      <w:r>
        <w:rPr>
          <w:rFonts w:ascii="Times New Roman" w:hAnsi="Times New Roman" w:eastAsia="Times New Roman" w:cs="Times New Roman"/>
          <w:b w:val="0"/>
          <w:sz w:val="24"/>
        </w:rPr>
        <w:t>.”  If Buyer notifies Seller of any Title Objections, Seller has five (5) days from receipt of Buyer’s notice to notify Buyer whether Seller agrees to cure the Title Objections before Closing (“</w:t>
      </w:r>
      <w:r>
        <w:rPr>
          <w:rFonts w:ascii="Times New Roman" w:hAnsi="Times New Roman" w:eastAsia="Times New Roman" w:cs="Times New Roman"/>
          <w:b w:val="0"/>
          <w:sz w:val="24"/>
        </w:rPr>
        <w:t>Cure Notice</w:t>
      </w:r>
      <w:r>
        <w:rPr>
          <w:rFonts w:ascii="Times New Roman" w:hAnsi="Times New Roman" w:eastAsia="Times New Roman" w:cs="Times New Roman"/>
          <w:b w:val="0"/>
          <w:sz w:val="24"/>
        </w:rPr>
        <w:t>”).  If Seller does not timely give its Cure Notice or timely gives its Cure Notice but does not agree to cure all the Title Objections before Closing, Buyer may, within five (5) days after the deadline for the giving of Seller’s Cure Notice, notify Seller that either this Agreement is terminated (and receive the return of the Earnest Money) or Buyer will proceed to close, subject to Seller’s obligations to resolve the items listed in Schedule C of the Title Commitment, remove the liquidated liens, remove all exceptions that arise by, through, or under Seller after the Effective Date, and cure only the Title Objections that Seller has agreed to cure in the Cure Notice.  At or before Closing, Seller must resolve the items that are listed on Schedule C of the Title Commitment, remove all liquidated liens, remove all exceptions that arise by, through, or under Seller after the Effective Date of this Agreement, and cure the Title Objections that Seller has agreed to cure.</w:t>
      </w:r>
    </w:p>
    <w:p>
      <w:pPr>
        <w:keepNext w:val="0"/>
        <w:spacing w:before="120" w:after="0" w:line="260" w:lineRule="exact"/>
        <w:ind w:left="720" w:right="0" w:firstLine="0"/>
        <w:jc w:val="left"/>
      </w:pPr>
      <w:r>
        <w:rPr>
          <w:rFonts w:ascii="Times New Roman" w:hAnsi="Times New Roman" w:eastAsia="Times New Roman" w:cs="Times New Roman"/>
          <w:b/>
          <w:sz w:val="24"/>
        </w:rPr>
        <w:t>Inspection Period</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Review of Seller’s Records.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Seller will deliver to Buyer copies of Seller’s records specified in Exhibit “C,” or otherwise make those records available for Buyer’s review, by the deadline stated in Section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Inspections, Access, and Utilities.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Buyer may have the Property inspected by inspectors selected by Buyer and licensed by TREC or otherwise permitted by law to make inspections.  Seller shall permit Buyer and Buyer’s agents access to the Property at reasonable times.  Seller shall pay for turning on existing utilities for inspections.</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Entry onto the Property.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Buyer’s entry onto the Property for inspection purposes shall be subject to the following:</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Buyer must (i) notify Seller prior to its entrance on the Property for purposes of its inspections or for conducting any tests thereon and (ii) not unreasonably interfere with existing operations or occupants of the Property.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Buyer must provide proof of insurance in amounts and coverages reasonably satisfactory to Seller concerning its entrance onto the Property and its conduct of its inspections thereof.</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Property is altered because of Buyer’s inspections, Buyer must return the Property to its pre-inspection condition promptly after the alteration occurs.</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Buyer’s Indemnity and Release of Seller.</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Buyer will indemnify, defend, and hold Seller harmless from any loss, attorney’s fees, expenses, or claims arising out of Buyer’s investigation of the Property, except for repair or remediation of existing conditions discovered by Buyer’s inspection.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Release.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Buyer releases Seller and those persons acting on Seller’s behalf from all claims and causes of action (including claims for attorneys’ fees and court and other costs) resulting from Buyer’s investigation of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Buyer’s Right of Inspection and Right to Terminate.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Buyer shall have until the End of the Inspection Period (see Section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above) within which to conduct, at its sole expense, all inspections of the Property to determine, in Buyer’s sole discretion, the suitability of the Property for Buyer’s intended use.  In the event Buyer determines during the Inspection Period that the Property is not suitable for Buyer’s intended use, Buyer shall have the unrestricted right to cancel this Agreement by sending written notice of such termination to Seller within the Inspection Period.  In the event Buyer sends such notice of termination to Seller, Buyer has no further obligations hereunder except that the sum of $100.00 shall be released to Seller as separate and independent consideration for Seller’s execution of this Agreement.  The Earnest Money shall be refunded to Buyer.  If Buyer does not terminate this Agreement within the Inspection Period, the Earnest Money shall thereafter be subject to the remaining provisions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To induce Buyer to enter into this Agreement, Seller makes the representations and warranties to Buyer, all of which are true as of the date hereof (unless otherwise specified) and shall also be true as of the Closing Date, which are set forth on Exhibit “B” attached hereto and incorporated herein by reference.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Buyer represents and warrants to Seller that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Texas [type of entity] duly organized, validly existing, and in good standing under the laws of the state of Texas with authority to purchase the Property.  The execution and delivery of this Agreement and the performance by Buyer of its obligation hereunder has been duly authorized by all requisite action and no further action or approval is required.  </w:t>
      </w:r>
    </w:p>
    <w:p>
      <w:pPr>
        <w:keepNext w:val="0"/>
        <w:spacing w:before="120" w:after="0" w:line="260" w:lineRule="exact"/>
        <w:ind w:left="720" w:right="0" w:firstLine="0"/>
        <w:jc w:val="left"/>
      </w:pPr>
      <w:r>
        <w:rPr>
          <w:rFonts w:ascii="Times New Roman" w:hAnsi="Times New Roman" w:eastAsia="Times New Roman" w:cs="Times New Roman"/>
          <w:b/>
          <w:sz w:val="24"/>
        </w:rPr>
        <w:t>Condition of the Property until Closing; Cooperation; No Recording of Agreement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Maintenance and Operation.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Until Closing, Seller will (</w:t>
      </w:r>
      <w:r>
        <w:rPr>
          <w:rFonts w:ascii="Times New Roman" w:hAnsi="Times New Roman" w:eastAsia="Times New Roman" w:cs="Times New Roman"/>
          <w:b/>
          <w:sz w:val="24"/>
        </w:rPr>
        <w:t>a</w:t>
      </w:r>
      <w:r>
        <w:rPr>
          <w:rFonts w:ascii="Times New Roman" w:hAnsi="Times New Roman" w:eastAsia="Times New Roman" w:cs="Times New Roman"/>
          <w:b w:val="0"/>
          <w:sz w:val="24"/>
        </w:rPr>
        <w:t>) maintain the Property as it existed on the Effective Date, except for reasonable wear and tear and casualty damage; (b) operate the Property in the same manner as it was operated on the Effective Date; and (c) comply with all Agreements and governmental regulations affecting the Property.  Until Closing, Seller will not enter into, amend, or terminate any Agreement that affects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Casualty Damage.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Seller will notify Buyer promptly after discovery of any casualty damage to the Property.  Seller will have no obligation to repair or replace the Property if it is damaged by casualty before Closing.  Buyer may terminate this Agreement if the casualty damage that occurs before Closing would materially affect Buyer’s intended use of the Property.  Buyer’s termination for such casualty damages must be delivered to Seller in writing within fifteen (15) days of Buyer’s receipt of Seller’s notice of its discovery of the casualty damage.  If Buyer does not terminate this Agreement, Seller will (</w:t>
      </w:r>
      <w:r>
        <w:rPr>
          <w:rFonts w:ascii="Times New Roman" w:hAnsi="Times New Roman" w:eastAsia="Times New Roman" w:cs="Times New Roman"/>
          <w:b/>
          <w:sz w:val="24"/>
        </w:rPr>
        <w:t>a</w:t>
      </w:r>
      <w:r>
        <w:rPr>
          <w:rFonts w:ascii="Times New Roman" w:hAnsi="Times New Roman" w:eastAsia="Times New Roman" w:cs="Times New Roman"/>
          <w:b w:val="0"/>
          <w:sz w:val="24"/>
        </w:rPr>
        <w:t>) convey the Property to Buyer in its damaged condition, (b) assign to Buyer all of Seller’s rights under any property insurance policies covering the Property, and (c) pay to Buyer the amount of the deductibles and coinsurance provisions under any insurance policies covering the Property, but not in excess of the cost to repair the casualty damage and less any amounts previously paid by Seller to repair the Property.  If Seller has not insured the Property and Buyer does not elect to terminate this Agreement in accordance with this section, the Purchase Price will be reduced by the cost to repair the casualty damage.</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Condemnation.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Seller will notify Buyer promptly after Seller receives notice that any part of the Property has been or is threatened to be condemned or otherwise taken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or quasi-governmental authority.  Buyer may terminate this Agreement if the condemnation would materially affect Buyer’s intended use of the Property by giving notice to Seller within fifteen (15) days after receipt of Seller’s notice to Buyer (or before Closing if Seller’s notice is received less than fifteen (15) days before Closing).  If Buyer does not terminate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Buyer and Seller will each have the right to appear and defend their respective interests in the Property in the condemnation proceedings, (b) any award in condemnation will be assigned to Buyer, and (c) if the taking occurs before Closing, the description of the Property will be revised to delete the portion taken.</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Claims; Hearings.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Seller will notify Buyer promptly of any claim or administrative hearing that is threatened, filed, or initiated before Closing that affects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Cooperation.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Seller will cooperate with Buyer (</w:t>
      </w:r>
      <w:r>
        <w:rPr>
          <w:rFonts w:ascii="Times New Roman" w:hAnsi="Times New Roman" w:eastAsia="Times New Roman" w:cs="Times New Roman"/>
          <w:b/>
          <w:sz w:val="24"/>
        </w:rPr>
        <w:t>a</w:t>
      </w:r>
      <w:r>
        <w:rPr>
          <w:rFonts w:ascii="Times New Roman" w:hAnsi="Times New Roman" w:eastAsia="Times New Roman" w:cs="Times New Roman"/>
          <w:b w:val="0"/>
          <w:sz w:val="24"/>
        </w:rPr>
        <w:t>) before and after Closing, to transfer the applications, permits, and licenses held by Seller and used in the operation of the Property and to obtain any consents necessary for Buyer to operate the Property after Closing and (b) before Closing, with any reasonable evaluation, inspection, audit, or study of the Property prepared by, for, or at the request of Buyer.</w:t>
      </w:r>
    </w:p>
    <w:p>
      <w:pPr>
        <w:keepNext w:val="0"/>
        <w:spacing w:before="120" w:after="0" w:line="260" w:lineRule="exact"/>
        <w:ind w:left="72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Disposition of Earnest Money and Feasibility Consideration after Termination.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To Buyer.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Buyer terminates this Agreement in accordance with any of Buyer’s rights to terminate, Seller will, within five (5) days of receipt of Buyer’s termination notice, authorize Title Company to deliver the Earnest Money to Buyer, less $100.00, which will be paid to Seller as consideration for the unrestricted right granted by Seller to Buyer to terminate this Agreement. </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To Seller.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Seller terminates this Agreement in accordance with any of Seller’s rights to terminate due to Buyer’s default, Buyer will, within five (5) days of receipt of Seller’s termination notice, authorize Title Company to pay and deliver the Earnest Money to Seller.</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Duties after Termination.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this Agreement is terminated, Buyer will promptly return to Seller all documents relating to the Property that Seller has delivered to Buyer and all copies that Buyer has made of the documents.  After return of the documents and copies, neither party will have further duties or obligations to the other under this Agreement, except for those obligations that cannot be or were not performed before termination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transaction will close at Title Company’s offices at the Closing Date and Closing Time.  At Closing, the following will occur: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Closing Documents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will execute and deliver the Closing Documents.</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Payment of Purchase Price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Buyer will deliver the Purchase Price and other amounts that Buyer is obligated to pay under this Agreement to Title Company in funds acceptable to Title Company.  The Earnest Money will be applied to the Purchase Price.</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Disbursement of Funds; Recording; Copies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Title Company will be instructed to disburse the Purchase Price and other funds in accordance with this Agreement, record the deed and the other Closing Documents directed to be recorded, and distribute documents and copies in accordance with the parties’ written instructions.</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Delivery of Originals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 will deliver to Buyer the originals of Seller’s Records.</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Possession</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 will deliver possession of the Property to Buyer, subject to the Permitted Exceptions existing at Closing and any lien and security interest in favor of Seller, if the sale is Seller-financed.</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Transaction Costs.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Seller’s Costs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 will pay the basic charge for the Title Policy; one-half of the escrow fee charged by Title Company; the costs to prepare the deed; the costs to obtain, deliver, and record releases of all liens to be released at Closing; the costs to record all documents to cure Title Objections agreed to be cured by Seller; Title Company’s inspection fee to delete from the Title Policy the customary exception for parties in possession; the costs to obtain the Survey and certificates or reports of ad valorem taxes; the costs to deliver copies of the instruments described in Section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4.</w:t>
      </w:r>
      <w:r>
        <w:rPr>
          <w:rFonts w:ascii="Times New Roman" w:hAnsi="Times New Roman" w:eastAsia="Times New Roman" w:cs="Times New Roman"/>
          <w:b w:val="0"/>
          <w:sz w:val="24"/>
        </w:rPr>
        <w:t>; and Seller’s expenses and attorney’s fees.</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Buyer’s Costs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Buyer will pay one-half of the escrow fee charged by Title Company; the costs to obtain, deliver, and record all documents other than those to be recorded at Seller’s expense; the additional premium for the “survey/area and boundary deletion” in the Title Policy, if the deletion is requested by Buyer; the costs of work required by Buyer to have the survey reflect matters other than those required under this Agreement; the costs to obtain financing of the Purchase Price, including the incremental premium costs of mortgagee’s title policies and endorsements and deletions required by Buyer’s lender; and Buyer’s expenses and attorney’s fees.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Ad Valorem Taxes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Ad valorem taxes for the Property for the calendar year of Closing will be prorated between Buyer and Seller as of the Closing Date.  Seller’s portion of the prorated taxes will be paid to Buyer at Closing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to the Purchase Price.  If the assessment for the calendar year of Closing is not known at the Closing Date, the proration will be based on taxes for the previous tax year, and Buyer and Seller will adjust the pro-rations in cash within thirty (30) days of when the actual assessment and taxes are known.  Seller will promptly notify Buyer of all notices of proposed or final tax valuations and assessments that Seller receives after the Effective Date and after Closing.  All taxes due as of Closing will be paid at Closing.  If the Property has been the subject of special valuation and reduced tax assessments pursuant to the provisions of chapter 23, subchapter D, of the Texas Tax Code with respect to any period before the Closing and additional taxes are assessed pursuant to Tex. Tax Code § 23.55 thereof, the following will apply:</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Seller changes the use of the Property before Closing, resulting in the assessment of additional taxes for periods before Closing, Seller will pay the additional taxes.</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this sale results in the assessment of additional taxes for periods before Closing, Seller will pay at Closing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Potential Roll-Back Amount to all applicable taxing jurisdictions.</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Buyer’s use of the Property after the Closing results in the assessment of additional taxes for periods before Closing, Buyer will pay the additional taxes.</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Income and Expenses.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Income and expenses pertaining to operation of the Property will be prorated as of the Closing Date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accrual basis and paid at Closing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or debit adjustment to the Purchase Price.  Invoices that are received after Closing for operating expenses incurred on or before the Closing Date and not adjusted at Closing will be prorated between the parties as of the Closing Date, and Seller will pay its share within ten (10) days of notice of Buyer’s invoice.</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Post-closing Adjustments.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errors in the pro-rations made at Closing are identified within ninety (90) days after Closing, Seller and Buyer will make post-closing adjustments to correct the errors within fifteen (15) days of receipt of notice of the errors.</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Issuance of Title Policy.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Seller will cause Title Company to issue the Title Policy to Buyer as soon as practicable after Closing.</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Precedent to Closing.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obligations of Buyer and Seller under this Agreement are subject to all covenants, agreements, actions, proceedings, instruments, and comments required pursuant to this Agreement having been performed, complied with, or delivered (as the case may be) in accordance with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L.</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Default and Remedies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Seller’s Default.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Seller fails to perform any of its obligations under this Agreement or if any of Seller’s representations or warranties are not true and correct as of the Effective Date or on the Closing Date (“</w:t>
      </w:r>
      <w:r>
        <w:rPr>
          <w:rFonts w:ascii="Times New Roman" w:hAnsi="Times New Roman" w:eastAsia="Times New Roman" w:cs="Times New Roman"/>
          <w:b w:val="0"/>
          <w:sz w:val="24"/>
        </w:rPr>
        <w:t>Seller’s Default</w:t>
      </w:r>
      <w:r>
        <w:rPr>
          <w:rFonts w:ascii="Times New Roman" w:hAnsi="Times New Roman" w:eastAsia="Times New Roman" w:cs="Times New Roman"/>
          <w:b w:val="0"/>
          <w:sz w:val="24"/>
        </w:rPr>
        <w:t>”), Buyer may elect either of the following as its sole and exclusive remedy: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Liquidated Damages.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Buyer may terminate this Agreement by giving notice to Seller on or before the Closing Date and Closing Time and have the Earnest Money, less $100.00 as described above, returned to Buyer.  If Seller’s Default occurs after Buyer has incurred costs to investigate the Property after the Effective Date and Buyer terminates this Agreement in accordance with the previous sentence, Seller will also pay to Buyer as liquidated damages the lesser of Buyer’s actual out-of-pocket expenses incurred to investigate the Property after the Effective Date or the amount of Buyer’s Liquidated Damages, within ten (10) days of Seller’s receipt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invoice from Buyer stating the amount of Buyer’s expenses.</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Specific Performance.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anything to the contrary set forth in this Agreement or in any document delivered in connection with the transaction contemplated by this Agreement, the parties hereto agree that if Seller fails to comply with any of the provisions of this Agreement, Buyer shall have no adequate remedy at law.  Accordingly, Buyer may enforce specific performance of Seller’s obligation to convey the Property.  If title to the Property is awarded to Buyer, the conveyance will be subject to the matters stated in the Title Commitment.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Buyer’s Default.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Buyer fails to perform any of its obligations under this Agreement (“Buyer’s Default”), Seller may terminate this Agreement by giving notice to Buyer on or before the Closing Date and Closing Time and have the Earnest Money paid to Seller as its sole and exclusive remedy hereunder.  If Buyer’s Default occurs after Seller has incurred costs to perform its obligations under this Agreement and Seller terminates this Agreement in accordance with the previous sentence, Buyer will also reimburse Seller for the lesser of Seller’s actual out-of-pocket expenses incurred to perform its obligations under this Agreement or the amount of Seller’s Additional Liquidated Damages, within ten (10) days of Buyer’s receipt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invoice from Seller stating the amount of Seller’s expenses.</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Liquidated Damages.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parties agree that just compensation for the harm that would be caused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either party cannot be accurately estimated or would be very difficult to accurately estimate and that the Earnest Money and the amounts provided above are reasonable forecasts of just compensation to the non-defaulting party for the harm that would be caused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Attorney’s Fees.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the event it becomes necessary for either party hereto to file suit to enforce this Agreement or any provision contained herein, the party prevailing in such suit shall be entitled to recover, in additional to all other remedies or damages, as provided herein, reasonable attorney’s fees incurred in such suit.</w:t>
      </w:r>
    </w:p>
    <w:p>
      <w:pPr>
        <w:keepNext w:val="0"/>
        <w:spacing w:before="120" w:after="0" w:line="260" w:lineRule="exact"/>
        <w:ind w:left="720" w:right="0" w:firstLine="0"/>
        <w:jc w:val="left"/>
      </w:pP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Provisions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Adjustment of Purchase Price.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Purchase Price is based on the acreage of the Property containing no less than [number] acres (herein the “</w:t>
      </w:r>
      <w:r>
        <w:rPr>
          <w:rFonts w:ascii="Times New Roman" w:hAnsi="Times New Roman" w:eastAsia="Times New Roman" w:cs="Times New Roman"/>
          <w:b w:val="0"/>
          <w:sz w:val="24"/>
        </w:rPr>
        <w:t>Required Acreage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the event the Survey required by Section </w:t>
      </w:r>
      <w:r>
        <w:rPr>
          <w:rFonts w:ascii="Times New Roman" w:hAnsi="Times New Roman" w:eastAsia="Times New Roman" w:cs="Times New Roman"/>
          <w:b w:val="0"/>
          <w:sz w:val="24"/>
        </w:rPr>
        <w:t>F.</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reflects the total number of acres to be less than the Required Acreage, the Purchase Price shall be adjusted to reflect the total number of acres times $[amount] per acre.</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Financing.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portion of the Sales Price not payable in cash will be paid as follows:  One or more third party mortgage loans in the total amount of $[amount].  If the Property does not satisfy the lenders’ underwriting requirements for the loan(s), this Agreement will terminate and the Earnest Money will be refunded to Buyer.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is subject to Buyer being approved for the financing described according to the following general guidelines:</w:t>
      </w:r>
    </w:p>
    <w:p>
      <w:pPr>
        <w:keepNext w:val="0"/>
        <w:spacing w:before="200" w:after="0" w:line="260" w:lineRule="exact"/>
        <w:ind w:left="1440" w:right="0" w:firstLine="0"/>
        <w:jc w:val="both"/>
      </w:pPr>
      <w:r>
        <w:rPr>
          <w:rFonts w:ascii="Times New Roman" w:hAnsi="Times New Roman" w:eastAsia="Times New Roman" w:cs="Times New Roman"/>
          <w:b w:val="0"/>
          <w:sz w:val="24"/>
        </w:rPr>
        <w:t>Interest rate not to exceed [percentage] %.</w:t>
      </w:r>
    </w:p>
    <w:p>
      <w:pPr>
        <w:keepNext w:val="0"/>
        <w:spacing w:before="200" w:after="0" w:line="260" w:lineRule="exact"/>
        <w:ind w:left="1440" w:right="0" w:firstLine="0"/>
        <w:jc w:val="both"/>
      </w:pPr>
      <w:r>
        <w:rPr>
          <w:rFonts w:ascii="Times New Roman" w:hAnsi="Times New Roman" w:eastAsia="Times New Roman" w:cs="Times New Roman"/>
          <w:b w:val="0"/>
          <w:sz w:val="24"/>
        </w:rPr>
        <w:t>Term of not less than [number of years] years.</w:t>
      </w:r>
    </w:p>
    <w:p>
      <w:pPr>
        <w:keepNext w:val="0"/>
        <w:spacing w:before="200" w:after="0" w:line="260" w:lineRule="exact"/>
        <w:ind w:left="1440" w:right="0" w:firstLine="0"/>
        <w:jc w:val="both"/>
      </w:pPr>
      <w:r>
        <w:rPr>
          <w:rFonts w:ascii="Times New Roman" w:hAnsi="Times New Roman" w:eastAsia="Times New Roman" w:cs="Times New Roman"/>
          <w:b w:val="0"/>
          <w:sz w:val="24"/>
        </w:rPr>
        <w:t>Installments of principal and interest payable [monthly / quarterly / annually].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 more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[percentage]% loan-to-value ratio.</w:t>
      </w:r>
    </w:p>
    <w:p>
      <w:pPr>
        <w:keepNext w:val="0"/>
        <w:spacing w:before="120" w:after="0" w:line="260" w:lineRule="exact"/>
        <w:ind w:left="720" w:right="0" w:firstLine="0"/>
        <w:jc w:val="left"/>
      </w:pPr>
      <w:r>
        <w:rPr>
          <w:rFonts w:ascii="Times New Roman" w:hAnsi="Times New Roman" w:eastAsia="Times New Roman" w:cs="Times New Roman"/>
          <w:b w:val="0"/>
          <w:sz w:val="24"/>
        </w:rPr>
        <w:t>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Mediation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It is the policy of the State of Texas to encourage resolution of disputes through alternative dispute resolution procedures such as mediation.  Any dispute between Seller and Buyer related to this Agreement which is not resolved through informal discussion will, time permitting, be submitted by the parties in good faith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mutually acceptable mediation service or provider.  The parties to the mediation shall bear the mediation costs equally.  This Section does not preclude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from seeking equitable relief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w:t>
      </w:r>
    </w:p>
    <w:p>
      <w:pPr>
        <w:keepNext w:val="0"/>
        <w:spacing w:before="120" w:after="0" w:line="260" w:lineRule="exact"/>
        <w:ind w:left="720" w:right="0" w:firstLine="0"/>
        <w:jc w:val="left"/>
      </w:pPr>
      <w:r>
        <w:rPr>
          <w:rFonts w:ascii="Times New Roman" w:hAnsi="Times New Roman" w:eastAsia="Times New Roman" w:cs="Times New Roman"/>
          <w:b w:val="0"/>
          <w:sz w:val="24"/>
        </w:rPr>
        <w:t>O.</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Escrow</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Title Company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Agreement and does not have liability for the performance or nonperformance of any party to this Agreement, (b) liable for interest on the Earnest Money, and (c) liable for the loss of any Earnest Money caused by the failure of any financial institution in which the Earnest Money has been deposited unless the financial institution is acting as escrow agent.  At Closing, the Earnest Money must be applied first to any cash down payment, then to Buyer’s Expenses and any excess refunded to Buyer.  If both parties make written demand for the Earnest Money, Title Company may require payment of unpaid expenses incurred on behalf of the parties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release of liability of Title Company from all parties.  If one party makes written demand for the Earnest Money, Title Company shall give notice of the demand by providing to the other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demand.  If Title Company does not receive written objection to the demand from the other party within thirty (30) days after notice to the other party, Title Company may disburse the Earnest Money to the party making demand reduced by the amount of unpaid expenses incurred on behalf of the party receiving the Earnest Money and Title Company may pay the same to the creditors.  If Title Company complies with the provisions of this paragraph, each party hereby releases Title Company from all adverse claims related to the disbursal of the Earnest Money.  Title Company’s notice to any party will be effective when deposited in the U.S. Mail, postage prepaid, certified mail, return receipt requested, addressed to the other party as such party’s address shown below.  Notice of objection to the demand will be deemed effective upon receipt by Title Company.</w:t>
      </w:r>
    </w:p>
    <w:p>
      <w:pPr>
        <w:keepNext w:val="0"/>
        <w:spacing w:before="120" w:after="0" w:line="260" w:lineRule="exact"/>
        <w:ind w:left="720" w:right="0" w:firstLine="0"/>
        <w:jc w:val="left"/>
      </w:pPr>
      <w:r>
        <w:rPr>
          <w:rFonts w:ascii="Times New Roman" w:hAnsi="Times New Roman" w:eastAsia="Times New Roman" w:cs="Times New Roman"/>
          <w:b w:val="0"/>
          <w:sz w:val="24"/>
        </w:rPr>
        <w:t>P.</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 Provisions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Successors and Assigns; Beneficiaries.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may be assigned by Buyer.  This Agreement benefits, and may be enforced by, the parties and their respective heirs, successors, and permitted assigns.  There are no third-party beneficiaries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Any notice required by or permitted under this Agreement must be in writing.  Any notice required by this Agreement will be deemed to be delivered (whether actually received or not) when deposited with the United States Postal Service, postage prepaid, certified mail, return receipt requested, and addressed to the intended recipient at the address shown in this Agreement.  Notice may also be given by regular mail, personal delivery, courier delivery, facsimile transmission, or other commercially reasonable means and will be effective when actually received.  Any address for notice may be changed by written notice delivered as provided herein.  Copies of each notice must be given by one of these methods to the attorney of the party to whom notice is given.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All notices given in accordance with the terms hereof shall be deemed received on the next business day if sent by overnight courier, on the same day if sent by facsimile before 5 P.M. (Central Standard Time)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day, on the third (3rd) business day following deposit with the United States Mail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registered or certified matter with postage prepaid, or when delivered personally or otherwise received.  Either party hereto may change the address for receiving notices, requests, demands or other communication by notice sent in accordance with the terms of this Section </w:t>
      </w:r>
      <w:r>
        <w:rPr>
          <w:rFonts w:ascii="Times New Roman" w:hAnsi="Times New Roman" w:eastAsia="Times New Roman" w:cs="Times New Roman"/>
          <w:b w:val="0"/>
          <w:sz w:val="24"/>
        </w:rPr>
        <w:t>P.</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Counterparts.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together with its exhibits, and any Closing Documents delivered at Closing constitute the entire agreement of the parties concerning the sale of the Property by Seller to Buyer.  There are no oral representations, warranties, agreements, or promises pertaining to the sale of the Property by Seller to Buyer not incorporated in writing in this Agreement.  If this Agreement is executed in multiple counterparts, all counterparts taken together will constitute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may be amended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agreement signed by Buyer and Seller.</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representations, warranties and indemnities contained herein shall be deemed to have been made again by Buyer and Seller as of the Closing Date, and shall survive the expiration or termination of this Agreement, the discharge of all other obligations owed by Buyer and Seller to one another, and any transfer of title to the Property, and shall not be affected by any investigation by or on behalf of Buyer, or by any information which Buyer may have or obtain with respect thereto.  If there is any conflict between this Agreement and any document executed and delivered at Closing, the document(s) delivered at Closing shall control.</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Choice of Law; Venue.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will be construed under the laws of the State of Texas, without regard to choice-of-law rules of any jurisdiction.  Except as otherwise provided by applicable law, any legal proceeding commenced to enforce, construe or interpret this Agreement shall be brought in the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in the County for Performance.</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Default.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It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default if the non-defaulting party fails to declare immediately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or delays taking any action with respect to the default.</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the event that any condition or covenant herein contained is held to be invalid or void by any court of competent jurisdiction, the same shall be deemed severable from the remainder of this Agreement and shall in no way affect any other covenant or conditions herein contained.  If such condition, covenant, or other provision shall be deemed invalid due to its scope or breadth, such provision shall be deemed valid to the extent of the scope or breadth permitted by law.</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Ambiguities Not to Be Construed against Party Who Drafted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rule of construction that ambiguities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will be construed against the party who drafted it will not be applied in interpreting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Special Relationship.</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parties’ relationship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ordinary commercial relationship, and they do not intend to create the relationship of principal and agent, partnership, joint venture, or any other special relationship.</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parties will keep confidential this Agreement, this transaction, and all information learned in the course of this transaction, except to the extent disclosure is required by law or court order or to enable third parties to advise or assist Buyer to investigate the Property or either party to close this transaction.  Any public announcement of the consummation of the transaction described herein shall only be made upon the mutual agreement of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Broker Commissions.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and when this Agreement is closed, but not otherwise, Seller agrees to pay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real estate commission equal to three percent (3%) of the Purchase Price to Buyer’s broker, [name of buyer’s broker], and all of the commission to be charged by Seller’s broker, [name of seller’s broker ], as set forth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agreement.  Each party represents and warrants to the other party that, except as provided elsewhere in this Agreement, no brokers or finders have been engaged by it in connection with any of the transactions contemplated by this Agreement, or, to its knowledge, is in any way connected with any such transactions.  IN THE EVENT OF ANY SUCH CLAIM FOR BROKER’S OR FINDER’S FEES OR COMMISSIONS IN CONNECTION WITH THE NEGOTIATION, EXECUTION, OR CONSUMMATION OF THIS AGREEMENT, EACH PARTY SHALL INDEMNIFY, SAVE, AND HOLD HARMLESS AND DEFEND THE OTHER PARTY FROM AND AGAINST SUCH CLAIM IF IT SHALL BE BASED UPON ANY STATEMENT OR REPRESENTATION OR AGREEMENT MADE BY OR ALLEGEDLY MADE BY THE INDEMNIFYING PARTY.  THIS INDEMNITY SHALL SURVIVE THE CLOSING OR TERMINATION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Number and Gender.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Whenever the singular number is used herein and when required by the context, the same shall include the plural, and the masculine gender shall include the feminine and neuter genders, and the word “person” shall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firm, partnership, joint venture, trust, or estate.</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Consumer Rights.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BUYER WAIVES ITS RIGHTS UNDER THE TEXAS DECEPTIVE TRADE PRACTICES CONSUMER PROTECTION ACT, TEX. BUS. &amp; COM. § 17.41 ET SEQ.,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 THAT GIVES CONSUMERS SPECIAL RIGHTS AND PROTECTIONS.  AFTER CONSULTATION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OF ITS OWN SELECTION, BUYER VOLUNTARILY CONSENTS TO THIS WAIVER.</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Section 1031 Like-Kind Exchange.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Seller acknowledges that Buyer may engage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like-kind exchange with respect to the Property under Section 1031 of the Internal Revenue Code (the “1031 Exchange”).  Seller agrees to cooperate with Buyer, at no expense to Seller,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1031 Exchange of the Property and consents to the assignment of this Agreement by Buyer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intermediary” (within the meaning of Section 1.1031(k)-1 of the Treasury Regulations) for purposes of effecting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1031 Exchange.</w:t>
      </w:r>
    </w:p>
    <w:p>
      <w:pPr>
        <w:keepNext w:val="0"/>
        <w:spacing w:before="120" w:after="0" w:line="260" w:lineRule="exact"/>
        <w:ind w:left="108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Patriot Act Representations.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Seller and Buyer each represent and warrant to the other that they are not acting, directly or indirectly, for or on behalf of any person, group, entity, or nation named by the United States Treasury Department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Specifically Designated National and Blocked Person, or for or on behalf of any person, group, entity, or nation designated in Presidential Executive Order 13224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commits, threatens to commit, or supports terrorism; and that they are not engaged in this transaction directly or indirectly on behalf of, or facilitating this transaction directly or indirectly in behalf of, any such person, group, entity, or nation.</w:t>
      </w:r>
    </w:p>
    <w:p>
      <w:pPr>
        <w:keepNext w:val="0"/>
        <w:spacing w:before="120" w:after="0" w:line="260" w:lineRule="exact"/>
        <w:ind w:left="108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and Amendment.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breach of any provision hereof can be waived unless in writing.  Waiver of any one breach shall not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breach of the same or any other provision hereof.  It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default if the non-defaulting party fails to declare immediately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or delays taking any action with respect to the default.  This Agreement may be amended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agreement executed by all of the parties hereto.</w:t>
      </w:r>
    </w:p>
    <w:p>
      <w:pPr>
        <w:keepNext w:val="0"/>
        <w:spacing w:before="120" w:after="0" w:line="260" w:lineRule="exact"/>
        <w:ind w:left="108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Captions and Interpretations.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Paragraph titles or captions contained herein are inserted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convenience and for reference, and in no way define, limit, extend, or describe the scope of this Agreement or any provision hereof.  No provision in this Agreement is to be interpreted for or against either party because that party or its legal representative drafted such provision.</w:t>
      </w:r>
    </w:p>
    <w:p>
      <w:pPr>
        <w:keepNext w:val="0"/>
        <w:spacing w:before="120" w:after="0" w:line="260" w:lineRule="exact"/>
        <w:ind w:left="108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Time of Essence; Business Days.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Time is of the essence with respect to the performance and observation of this Agreement; however, if the final date of any period for notice or other action which is set out in any provision of this Agreement falls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day on which banks in Texas are generally open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day for business, such ending date shall automatically be extended to the next business day. </w:t>
      </w:r>
    </w:p>
    <w:p>
      <w:pPr>
        <w:keepNext w:val="0"/>
        <w:spacing w:before="120" w:after="0" w:line="260" w:lineRule="exact"/>
        <w:ind w:left="108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Expiration of Offer.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shall constitute Buyer’s offer to purchase the Property on the terms and conditions stated herein.  In the event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 executed copy of this Agreement is not delivered to Buyer on or before 5:00 pm, three (3) days following the date of Seller’s receipt of this Agreement, this offer shall expire be null and void.</w:t>
      </w:r>
    </w:p>
    <w:p>
      <w:pPr/>
    </w:p>
    <w:p>
      <w:pPr>
        <w:keepNext w:val="0"/>
        <w:spacing w:before="120" w:after="0" w:line="260" w:lineRule="exact"/>
        <w:ind w:left="360" w:right="0" w:firstLine="0"/>
        <w:jc w:val="left"/>
      </w:pPr>
      <w:r>
        <w:rPr>
          <w:rFonts w:ascii="Times New Roman" w:hAnsi="Times New Roman" w:eastAsia="Times New Roman" w:cs="Times New Roman"/>
          <w:b/>
          <w:sz w:val="24"/>
        </w:rPr>
        <w:t>SELLER</w:t>
      </w:r>
      <w:r>
        <w:rPr>
          <w:rFonts w:ascii="Times New Roman" w:hAnsi="Times New Roman" w:eastAsia="Times New Roman" w:cs="Times New Roman"/>
          <w:b/>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[name of seller],</w:t>
      </w:r>
    </w:p>
    <w:p>
      <w:pPr>
        <w:keepNext w:val="0"/>
        <w:spacing w:before="120" w:after="0" w:line="260" w:lineRule="exact"/>
        <w:ind w:left="36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Texas [type of entity]</w:t>
      </w:r>
    </w:p>
    <w:p>
      <w:pPr>
        <w:keepNext w:val="0"/>
        <w:spacing w:before="120" w:after="0" w:line="260" w:lineRule="exact"/>
        <w:ind w:left="360" w:right="0" w:firstLine="0"/>
        <w:jc w:val="left"/>
      </w:pPr>
      <w:r>
        <w:rPr>
          <w:rFonts w:ascii="Times New Roman" w:hAnsi="Times New Roman" w:eastAsia="Times New Roman" w:cs="Times New Roman"/>
          <w:b w:val="0"/>
          <w:sz w:val="24"/>
        </w:rPr>
        <w:t>By: [Signature of Authorized Person]</w:t>
      </w:r>
    </w:p>
    <w:p>
      <w:pPr>
        <w:keepNext w:val="0"/>
        <w:spacing w:before="120" w:after="0" w:line="260" w:lineRule="exact"/>
        <w:ind w:left="360" w:right="0" w:firstLine="0"/>
        <w:jc w:val="left"/>
      </w:pPr>
      <w:r>
        <w:rPr>
          <w:rFonts w:ascii="Times New Roman" w:hAnsi="Times New Roman" w:eastAsia="Times New Roman" w:cs="Times New Roman"/>
          <w:b w:val="0"/>
          <w:sz w:val="24"/>
        </w:rPr>
        <w:t>[name of authorized person], [title]</w:t>
      </w:r>
    </w:p>
    <w:p>
      <w:pPr>
        <w:keepNext w:val="0"/>
        <w:spacing w:before="120" w:after="0" w:line="260" w:lineRule="exact"/>
        <w:ind w:left="360" w:right="0" w:firstLine="0"/>
        <w:jc w:val="left"/>
      </w:pPr>
      <w:r>
        <w:rPr>
          <w:rFonts w:ascii="Times New Roman" w:hAnsi="Times New Roman" w:eastAsia="Times New Roman" w:cs="Times New Roman"/>
          <w:b/>
          <w:sz w:val="24"/>
        </w:rPr>
        <w:t>BUYER</w:t>
      </w:r>
      <w:r>
        <w:rPr>
          <w:rFonts w:ascii="Times New Roman" w:hAnsi="Times New Roman" w:eastAsia="Times New Roman" w:cs="Times New Roman"/>
          <w:b/>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[name of buyer],</w:t>
      </w:r>
    </w:p>
    <w:p>
      <w:pPr>
        <w:keepNext w:val="0"/>
        <w:spacing w:before="120" w:after="0" w:line="260" w:lineRule="exact"/>
        <w:ind w:left="36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Texas [type of entity]</w:t>
      </w:r>
    </w:p>
    <w:p>
      <w:pPr>
        <w:keepNext w:val="0"/>
        <w:spacing w:before="120" w:after="0" w:line="260" w:lineRule="exact"/>
        <w:ind w:left="360" w:right="0" w:firstLine="0"/>
        <w:jc w:val="left"/>
      </w:pPr>
      <w:r>
        <w:rPr>
          <w:rFonts w:ascii="Times New Roman" w:hAnsi="Times New Roman" w:eastAsia="Times New Roman" w:cs="Times New Roman"/>
          <w:b w:val="0"/>
          <w:sz w:val="24"/>
        </w:rPr>
        <w:t>By: [Signature of Authorized Person]</w:t>
      </w:r>
    </w:p>
    <w:p>
      <w:pPr>
        <w:keepNext w:val="0"/>
        <w:spacing w:before="120" w:after="0" w:line="260" w:lineRule="exact"/>
        <w:ind w:left="360" w:right="0" w:firstLine="0"/>
        <w:jc w:val="left"/>
      </w:pPr>
      <w:r>
        <w:rPr>
          <w:rFonts w:ascii="Times New Roman" w:hAnsi="Times New Roman" w:eastAsia="Times New Roman" w:cs="Times New Roman"/>
          <w:b w:val="0"/>
          <w:sz w:val="24"/>
        </w:rPr>
        <w:t>[name of authorized person], [title]</w:t>
      </w:r>
    </w:p>
    <w:p>
      <w:pPr>
        <w:keepNext w:val="0"/>
        <w:spacing w:before="120" w:after="0" w:line="260" w:lineRule="exact"/>
        <w:ind w:left="360" w:right="0" w:firstLine="0"/>
        <w:jc w:val="left"/>
      </w:pPr>
      <w:r>
        <w:rPr>
          <w:rFonts w:ascii="Times New Roman" w:hAnsi="Times New Roman" w:eastAsia="Times New Roman" w:cs="Times New Roman"/>
          <w:b/>
          <w:sz w:val="24"/>
        </w:rPr>
        <w:t>Title Company Receipt and Acknowledgement</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Title Company acknowledges receipt of Earnest Money in the amount of $[amount]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Agreement executed by both Buyer and Seller.</w:t>
      </w:r>
    </w:p>
    <w:p>
      <w:pPr>
        <w:keepNext w:val="0"/>
        <w:spacing w:before="120" w:after="0" w:line="260" w:lineRule="exact"/>
        <w:ind w:left="360" w:right="0" w:firstLine="0"/>
        <w:jc w:val="left"/>
      </w:pPr>
      <w:r>
        <w:rPr>
          <w:rFonts w:ascii="Times New Roman" w:hAnsi="Times New Roman" w:eastAsia="Times New Roman" w:cs="Times New Roman"/>
          <w:b w:val="0"/>
          <w:sz w:val="24"/>
        </w:rPr>
        <w:t>[name of title company]</w:t>
      </w:r>
    </w:p>
    <w:p>
      <w:pPr>
        <w:keepNext w:val="0"/>
        <w:spacing w:before="120" w:after="0" w:line="260" w:lineRule="exact"/>
        <w:ind w:left="360" w:right="0" w:firstLine="0"/>
        <w:jc w:val="left"/>
      </w:pPr>
      <w:r>
        <w:rPr>
          <w:rFonts w:ascii="Times New Roman" w:hAnsi="Times New Roman" w:eastAsia="Times New Roman" w:cs="Times New Roman"/>
          <w:b w:val="0"/>
          <w:sz w:val="24"/>
        </w:rPr>
        <w:t>Date: [date] (the “Effective Date”)</w:t>
      </w:r>
    </w:p>
    <w:p>
      <w:pPr>
        <w:keepNext w:val="0"/>
        <w:spacing w:before="120" w:after="0" w:line="260" w:lineRule="exact"/>
        <w:ind w:left="360" w:right="0" w:firstLine="0"/>
        <w:jc w:val="left"/>
      </w:pPr>
      <w:r>
        <w:rPr>
          <w:rFonts w:ascii="Times New Roman" w:hAnsi="Times New Roman" w:eastAsia="Times New Roman" w:cs="Times New Roman"/>
          <w:b w:val="0"/>
          <w:sz w:val="24"/>
        </w:rPr>
        <w:t>By: [Signature]</w:t>
      </w:r>
    </w:p>
    <w:p>
      <w:pPr>
        <w:keepNext w:val="0"/>
        <w:spacing w:before="120" w:after="0" w:line="260" w:lineRule="exact"/>
        <w:ind w:left="360" w:right="0" w:firstLine="0"/>
        <w:jc w:val="left"/>
      </w:pPr>
      <w:r>
        <w:rPr>
          <w:rFonts w:ascii="Times New Roman" w:hAnsi="Times New Roman" w:eastAsia="Times New Roman" w:cs="Times New Roman"/>
          <w:b w:val="0"/>
          <w:sz w:val="24"/>
        </w:rPr>
        <w:t>Name: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Description</w:t>
      </w:r>
    </w:p>
    <w:p>
      <w:pPr>
        <w:keepNext w:val="0"/>
        <w:spacing w:before="200" w:after="0" w:line="260" w:lineRule="exact"/>
        <w:ind w:left="720" w:right="0" w:firstLine="0"/>
        <w:jc w:val="both"/>
      </w:pPr>
      <w:r>
        <w:rPr>
          <w:rFonts w:ascii="Times New Roman" w:hAnsi="Times New Roman" w:eastAsia="Times New Roman" w:cs="Times New Roman"/>
          <w:b w:val="0"/>
          <w:sz w:val="24"/>
        </w:rPr>
        <w:t>[legal description]</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Specific Listing of Personal Property</w:t>
      </w:r>
    </w:p>
    <w:p>
      <w:pPr>
        <w:keepNext w:val="0"/>
        <w:spacing w:before="200" w:after="0" w:line="260" w:lineRule="exact"/>
        <w:ind w:left="720" w:right="0" w:firstLine="0"/>
        <w:jc w:val="both"/>
      </w:pPr>
      <w:r>
        <w:rPr>
          <w:rFonts w:ascii="Times New Roman" w:hAnsi="Times New Roman" w:eastAsia="Times New Roman" w:cs="Times New Roman"/>
          <w:b w:val="0"/>
          <w:sz w:val="24"/>
        </w:rPr>
        <w:t>[list of personal property with description]</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Formation and Status.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Seller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Texas [type of entity (e.g., corporation / limited liability company /limited partnership)] duly organized, validly existing, and in good standing under the laws of the state of Texas with authority to convey the Property to Buyer.</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Seller has full power and authority to enter into this Agreement and to perform all of its obligations hereunder.  The execution and delivery of this Agreement and the performance by Seller of its obligations hereunder have been duly authorized by all requisite action and no further action or approval is required in order to constitute this Agreement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binding and enforceable obligation of Seller.</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Title.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Seller is the legal fee simple titleholder of the Property and has good and indefeasible title to the Property free and clear of all liens and encumbrances of any kind, except (i) those of public record in [name of county] County, Texas, which will not materially interfere with the contemplated use and operation of the Property, (ii) utility and other easements which will not materially interfere with the contemplated use and operation of the Property, (iii) facts and conditions which [</w:t>
      </w:r>
      <w:r>
        <w:rPr>
          <w:rFonts w:ascii="Times New Roman" w:hAnsi="Times New Roman" w:eastAsia="Times New Roman" w:cs="Times New Roman"/>
          <w:b/>
          <w:sz w:val="24"/>
        </w:rPr>
        <w:t>Optional Seller’s Clause</w:t>
      </w:r>
      <w:r>
        <w:rPr>
          <w:rFonts w:ascii="Times New Roman" w:hAnsi="Times New Roman" w:eastAsia="Times New Roman" w:cs="Times New Roman"/>
          <w:b w:val="0"/>
          <w:sz w:val="24"/>
        </w:rPr>
        <w:t xml:space="preserve">: to Seller’s actual knowledge] would be disclosed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inspection and/or survey of the Property and which will not materially interfere with the contemplated use of the Property, (vi) real estate taxes for the current tax year which are liens on the Property and are not yet due and payable; and (v) liens that will be satisfied and removed at or prior to the Closing. </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Due Diligence Items and Records.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records, and reports delivered by Seller to Buyer for any reason under this Agreement shall be true, correct and complete as of their delivery and Seller has no knowledge that any such items are inaccurate in any material respect.</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Contact Obligations.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as otherwise disclosed in the title commitment or in this Contract, no lease, contract, or agreement exists relating to any portion of the Property which is not terminable at will or upon no more than thirty (30) days’ prior notice.</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Litigation.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Optional Seller’s Clause:</w:t>
      </w:r>
      <w:r>
        <w:rPr>
          <w:rFonts w:ascii="Times New Roman" w:hAnsi="Times New Roman" w:eastAsia="Times New Roman" w:cs="Times New Roman"/>
          <w:b w:val="0"/>
          <w:sz w:val="24"/>
        </w:rPr>
        <w:t xml:space="preserve"> To Seller’s actual knowledge,/ Seller has received no notice of any] There is no litigation, action, sit, proceeding or claim pending or threatened affecting any portion of the Property or affecting Seller and relating to the ownership, operation, use, or occupancy of the Property or that might affect Seller’s ability to perform its obligations under this Contract.</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Seller is not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Foreign Person.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Seller is not foreign person or entity as defined in Section 1445 of the Internal Revenue Code of 1986, as amended, and Buyer is not obligated to withhold any portion of the Purchase Price for the benefit of the Internal Revenue Service.</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Insolvency Proceedings.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attachment, execution, assignment for the benefit of creditors, receivership, conservatorship, or voluntary or involuntary proceedings in bankruptcy or pursuant to any other debtor relief laws is contemplated or has been filed by or against Seller or the Property, nor is any such action pending by or against Seller or the Property.</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Violation of Laws.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Seller has not received from any governmental department, commission, board, bureau, agency, or instrumentality have jurisdiction over the Property any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any law, ordinance, regulation, or requirements affecting the Property or Seller’s use of the Property.  Furthermore, Seller has no actual knowledge that any claim, action, suit, or proceeding is pending or threatened against or affecting Seller or the Property or with respect to Seller’s present use and operation of the Property.</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Licenses, Permits, and Approvals.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Seller has not received notice that any license, permit, or approval necessary to operate the Property in the manner in which it is currently operated will not be renewed on expiration or that any material condition will be imposed in order to obtain their renewal.</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Condemnation; Zoning; Land Use.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Seller has not received notice of any condemnation, zoning, or land-use proceedings affecting any portion of the Property, nor any pending public improvements on or about the Property that will affect access to the Property or result in additional assessments against the Property.</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Assessments or Dedications.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Seller has received no notice of any pending or threatened special assessments with respect to the Property and has no knowledge of any pending or being threatened.  Seller has received no request, written or otherwise, from any governmental entity with regard to dedication of the Property or any part thereof and has no knowledge of any donations or payments to or for schools, parks, fire departments or any other public entity which are required to be made by the owner of the Property.</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Hazardous Materials.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Seller has not received notice of any inquiries, notices, claims, or actions by any governmental authority or third party with respect to the presence of Hazardous Materials on the Property, the migration of hazardous materials from the Property, or that Seller has otherwise violated any environmental law, regulations or ordinance.  Seller represents and warrants that (i) Seller has no [actual] knowledge of any present or past release of hazardous substances on, over, at, from, into, or onto any of the Property; (ii) Seller has no [actual] knowledge of any environmental condition, situation or incident on, at or concerning the Property that could reasonably be expected to give rise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or liability under any law, rule, ordinance or common law theory governing environmental protection; and (iii) all required federal, state, and local permits concerning or related to environmental protection or regulation for the Property and Seller’s operations thereon are current and Seller is in compliance therewith.</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Property Condition and Notification regarding Changes.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Seller has no [actual] knowledge of (1) any flooding of the Property; (2) any dumpsite, landfill, underground tanks or containers now or previously located on the Property; (3) any wetland, as defined by federal or state law or regulation; and (4) any threatened or endangered species of their habitat affecting the Property.  Seller agrees to notify Buyer prior to the closing of any change affecting the Property and Buyer’s intended use or any representation or warranty made by Seller herein. </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 of Representations and Warranties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of Seller’s representations and warranties shall survive the Closing [</w:t>
      </w:r>
      <w:r>
        <w:rPr>
          <w:rFonts w:ascii="Times New Roman" w:hAnsi="Times New Roman" w:eastAsia="Times New Roman" w:cs="Times New Roman"/>
          <w:b/>
          <w:sz w:val="24"/>
        </w:rPr>
        <w:t>Optional Clause:</w:t>
      </w:r>
      <w:r>
        <w:rPr>
          <w:rFonts w:ascii="Times New Roman" w:hAnsi="Times New Roman" w:eastAsia="Times New Roman" w:cs="Times New Roman"/>
          <w:b w:val="0"/>
          <w:sz w:val="24"/>
        </w:rPr>
        <w:t xml:space="preser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one year from the Closing Date].</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 Valorem Taxes.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Except as otherwise expressly stated in the Contract, all ad valorem taxes on the Property for prior years and all special assessments on the Property of any kind have been paid in full in accordance with the terms and there are no deferred ad valorem taxes for prior years or unpaid special assessments pertaining to the Property.  All prior years’ ad valorem valuation as “open space” as provided in Section 1-d-1 of the Texas Constitution are appropriate and bona fide and if any such valuations are subsequently disallowed, Seller shall reimburse Buyer for all such ad valorem taxes assessments, penalties and interest resulting therefrom. </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Government Programs.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Property is not subject to any government programs.</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Other Obligations to Sell or Lease the Property; No Restrictions Against Sale.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for granting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in the Property, Seller has not obligated itself to sell or lease any portion of the Property to any party other than Buyer.  Seller’s performance of this Agreement will not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any other agreement or obligation to which Seller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to which it is bound.</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Liens.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the Closing Date, the Property will be free and clear of all mechanic’s and materialman’s liens and other liens and encumbrances of any nature except the Permitted Exceptions, and no work or materials will have been furnished to the Property that might give rise to mechanic’s, materialman’s, or other liens against the Property other than work or materials to which Buyer has given its consent.</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Environmental Warranties.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best of Seller’s knowledge, [</w:t>
      </w:r>
      <w:r>
        <w:rPr>
          <w:rFonts w:ascii="Times New Roman" w:hAnsi="Times New Roman" w:eastAsia="Times New Roman" w:cs="Times New Roman"/>
          <w:b/>
          <w:sz w:val="24"/>
        </w:rPr>
        <w:t>Alternate Clause:</w:t>
      </w:r>
      <w:r>
        <w:rPr>
          <w:rFonts w:ascii="Times New Roman" w:hAnsi="Times New Roman" w:eastAsia="Times New Roman" w:cs="Times New Roman"/>
          <w:b w:val="0"/>
          <w:sz w:val="24"/>
        </w:rPr>
        <w:t xml:space="preserve"> To Seller’s actual knowledge,] (1) no underground storage tanks exist on or in the Property and no underground storage tanks have been previously situated on or in the Property, and (2) neither Seller nor any previous owner, tenant, occupant or user of the Property, nor any other person, has engaged in or permitted any operations or activities upon, or any use or occupancy of the Property, or any portion thereof, for the purpose of or in any way involving the handling, manufacture, treatment, storage, use, generation, release, discharge, refining, dumping or disposal of any Hazardous Materials (as hereinafter defined) in violation of any applicable laws or regulations on, under, in or about the Property, or transported any Hazardous Materials to, from or across the Property, nor are any Hazardous Materials presently constructed, deposited, stored, or otherwise located on, under, in or about the Property, nor have any Hazardous Materials migrated from the Property upon or beneath other properties, nor have any Hazardous Materials migrated or threatened to migrate from other properties upon, about or beneath the Property, nor are any underground improvements, including but not limited to storage tanks, dumps, or water, gas or oil wells now located or have ever been located on the Property.  As used herein, the term “Hazardous Materials” means any substance: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presence of which requires investigation or remediation under any federal, state, or local statute, regulation, ordinance, order, action, policy, or common law; or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which is defined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“hazardous waste,” “hazardous substance,” pollutant or contaminant under any federal, state or local statute, regulation, rule or ordinance or amendments thereto including, without limitation, the Comprehensive Environmental Response, Compensation and Liability Act (42 U.S.C. §9601 et seq.) and/or the Resource Conservation and Recovery Act (42 U.S.C. §6901 et seq.); or</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which is toxic, explosive, corrosive, flammable, infectious, radioactive, carcinogenic, mutagenic, or otherwise hazardous and is or becomes regulated by any governmental authority, agency, department, commission, board, agency or instrumentality of the United States, the State of Texas or any political subdivision thereof; or</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presence of which on the Property causes or threatens to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nuisance upon the Property or to adjacent properties or poses or threatens to pose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hazard to the health or safety of persons on or about the Property; or</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presence of which on adjacent properties could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trespass by Seller; or</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without limitation, which contains gasoline, diesel fuel or other petroleum hydrocarbons; or</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without limitation, which contains polychlorinated bipheynols (PCBs), asbestos or urea formaldehyde foam insulation; or</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without limitation, radon gas.</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Seller’s Indemnification for Representations and Warranties.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WITH RESPECT TO THE REPRESENTATIONS AND WARRANTIES CONTAINED IN SECTIONS [list appropriate section number] THROUGH [list appropriate section number] ABOVE, SELLER AGREES TO INDEMNIFY, DEFEND, REIMBURSE, AND HOLD HARMLESS BUYER, ITS AFFILIATES, SUCCESSORS, AND ASSIGNS FROM ANY AND ALL LIABILITIES, COSTS, DAMAGES, AND EXPENSES (INCLUDING WITHOUT LIMITATION, ATTORNEYS’ FEES) ARISING FROM OR OUT OF ANY LIENS OR CLAIMS BY THIRD PARTIES FOR ANY SUCH ACT OR OMISSION OCCURRING PRIOR TO THE CLOSING DATE WITH RESPECT TO THE PROPERTY OR FOR MATERIALS OR SERVICES FURNISHED ON THE PROPERTY PRIOR TO THE CLOSING, EXCEPT THOSE ACTS OR OMISSIONS OF BUYER, OR MATERIALS OR SERVICES CONTRACTED FOR BY BUYER. WITH RESPECT TO THE REPRESENTATIONS AND WARRANTIES CONTAINED IN SECTION [list appropriate section number] ABOVE, SELLER AGREES TO INDEMNIFY, DEFEND, REIMBURSE AND HOLD HARMLESS BUYER AND ITS SUCCESSORS AND ASSIGNS FROM ANY AND ALL LIABILITIES, COSTS, DAMAGES AND EXPENSES (INCLUDING WITHOUT LIMITATION, ATTORNEYS’ FEES) ARISING FROM OR RELATED TO THE BREACH OF ANY REPRESENTATION OR WARRANTY AS TO CONDITIONS EXISTING ON OR PRIOR TO THE CLOSING DATE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ENDING UPON THE EXPIRATION OF THE APPLICABLE STATUTE OF LIMITATIONS.  The obligations of Seller under this paragraph shall not be affected by any investigation by or on behalf of Buyer, or by any information which Buyer may have or obtain with respect thereto. Seller’s obligation hereunder shall include, but not be limited to, the burden and expense of defending all claims, suits and administrative proceedings (with counsel reasonably approved by Buyer), even if such claims, suits or proceedings are groundless, false or fraudulent, and conducting all negotiations of any description, and paying and discharging, when and as the same become due, any and all judgments, penalties or other sums due against such indemnified person.  Buyer, at its sole expense, may employ additional counsel of its choice to associate with counsel representing Seller.</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 Is, Where Is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ARMS-LENGTH AGREEMENT BETWEEN THE PARTIES.  THE PURCHASE PRICE WAS BARGAINED ON THE BASIS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 IS, WHERE IS” TRANSACTION AND REFLECTS THE AGREEMENT OF THE PARTIES THAT THERE ARE NO REPRESENTATIONS, DISCLOSURES, OR EXPRESS OR IMPLIED WARRANTIES, EXCEPT FOR THE WARRANTY OF TITLE STATED IN THE CLOSING DOCUMENTS AND SELLER’S REPRESENTATIONS TO BUYER SET FORTH IN SECTION [section] OF THIS EXHIBIT “[exhibit].” THE PROPERTY WILL BE CONVEYED TO BUYER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 IS, WHERE IS” CONDITION, WITH ALL FAULTS.  ALL WARRANTIES, EXCEPT THE WARRANTY OF TITLE IN THE CLOSING DOCUMENTS, ARE DISCLAIMED.</w:t>
      </w:r>
    </w:p>
    <w:p>
      <w:pPr>
        <w:keepNext w:val="0"/>
        <w:spacing w:before="200" w:after="0" w:line="260" w:lineRule="exact"/>
        <w:ind w:left="720" w:right="0" w:firstLine="0"/>
        <w:jc w:val="both"/>
      </w:pPr>
      <w:r>
        <w:rPr>
          <w:rFonts w:ascii="Times New Roman" w:hAnsi="Times New Roman" w:eastAsia="Times New Roman" w:cs="Times New Roman"/>
          <w:b w:val="0"/>
          <w:sz w:val="24"/>
        </w:rPr>
        <w:t>The applicable provisions of this Exhibit regarding the Property may be included in the deed with appropriate modification of terms as the context requires.</w:t>
      </w:r>
    </w:p>
    <w:p>
      <w:pPr>
        <w:keepNext w:val="0"/>
        <w:spacing w:before="120" w:after="0" w:line="260" w:lineRule="exact"/>
        <w:ind w:left="720" w:right="0" w:firstLine="0"/>
        <w:jc w:val="left"/>
      </w:pPr>
      <w:r>
        <w:rPr>
          <w:rFonts w:ascii="Times New Roman" w:hAnsi="Times New Roman" w:eastAsia="Times New Roman" w:cs="Times New Roman"/>
          <w:b/>
          <w:sz w:val="24"/>
        </w:rPr>
        <w:t>Representations and Warranties of Purchaser</w:t>
      </w:r>
    </w:p>
    <w:p>
      <w:pPr>
        <w:keepNext w:val="0"/>
        <w:spacing w:before="120" w:after="0" w:line="260" w:lineRule="exact"/>
        <w:ind w:left="1080" w:right="0" w:firstLine="0"/>
        <w:jc w:val="left"/>
      </w:pPr>
      <w:r>
        <w:rPr>
          <w:rFonts w:ascii="Times New Roman" w:hAnsi="Times New Roman" w:eastAsia="Times New Roman" w:cs="Times New Roman"/>
          <w:b w:val="0"/>
          <w:sz w:val="24"/>
        </w:rPr>
        <w:t>Representations and Warranties of Purchaser</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Purchaser represents and warrants to Seller as follows:</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Purchaser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Purchaser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formed and validly existing entity in good standing under the laws of the jurisdiction of its formation and is duly qualified to transact business in the jurisdiction in which the Property is located. </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is duly authorized, executed and delivered by all necessary action on the part of Purchaser, and constitutes the valid and binding agreement of Purchaser;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execution and delivery of and the performance by Purchaser of its obligations hereunder do not and will not contravene, or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under any provisions of applicable law or regulation or any agreement, judgment, injunction, order, decree or other instrument binding upon Purchaser or result in the creation of any lien or other encumbrance on any asset of Purchaser.</w:t>
      </w:r>
    </w:p>
    <w:p>
      <w:pPr>
        <w:keepNext w:val="0"/>
        <w:spacing w:before="120" w:after="0" w:line="260" w:lineRule="exact"/>
        <w:ind w:left="360" w:right="0" w:firstLine="0"/>
        <w:jc w:val="left"/>
      </w:pPr>
      <w:r>
        <w:rPr>
          <w:rFonts w:ascii="Times New Roman" w:hAnsi="Times New Roman" w:eastAsia="Times New Roman" w:cs="Times New Roman"/>
          <w:b w:val="0"/>
          <w:sz w:val="24"/>
        </w:rPr>
        <w:t>Exhibit 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Seller’s Records.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To the extent that Seller has possession of the following items pertaining to the Property, Seller will deliver or make the items or copies of them available to Buyer by the deadline stated in Section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sz w:val="24"/>
        </w:rPr>
        <w:t>Governmental:</w:t>
      </w:r>
    </w:p>
    <w:p>
      <w:pPr>
        <w:keepNext w:val="0"/>
        <w:spacing w:before="200" w:after="0" w:line="260" w:lineRule="exact"/>
        <w:ind w:left="1080" w:right="0" w:firstLine="0"/>
        <w:jc w:val="both"/>
      </w:pPr>
      <w:r>
        <w:rPr>
          <w:rFonts w:ascii="Times New Roman" w:hAnsi="Times New Roman" w:eastAsia="Times New Roman" w:cs="Times New Roman"/>
          <w:b w:val="0"/>
          <w:sz w:val="24"/>
        </w:rPr>
        <w:t>governmental licenses, certificates, permits, and approvals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tax statements for the current year and the last three (3) years </w:t>
      </w:r>
    </w:p>
    <w:p>
      <w:pPr>
        <w:keepNext w:val="0"/>
        <w:spacing w:before="200" w:after="0" w:line="260" w:lineRule="exact"/>
        <w:ind w:left="1080" w:right="0" w:firstLine="0"/>
        <w:jc w:val="both"/>
      </w:pPr>
      <w:r>
        <w:rPr>
          <w:rFonts w:ascii="Times New Roman" w:hAnsi="Times New Roman" w:eastAsia="Times New Roman" w:cs="Times New Roman"/>
          <w:b w:val="0"/>
          <w:sz w:val="24"/>
        </w:rPr>
        <w:t>notices of appraised value for ad valorem taxes for the current year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records of regulatory proceedings or violations (for example, condemnation, environmental) </w:t>
      </w:r>
    </w:p>
    <w:p>
      <w:pPr>
        <w:keepNext w:val="0"/>
        <w:spacing w:before="200" w:after="0" w:line="260" w:lineRule="exact"/>
        <w:ind w:left="1080" w:right="0" w:firstLine="0"/>
        <w:jc w:val="both"/>
      </w:pPr>
      <w:r>
        <w:rPr>
          <w:rFonts w:ascii="Times New Roman" w:hAnsi="Times New Roman" w:eastAsia="Times New Roman" w:cs="Times New Roman"/>
          <w:b/>
          <w:sz w:val="24"/>
        </w:rPr>
        <w:t>Land:</w:t>
      </w:r>
    </w:p>
    <w:p>
      <w:pPr>
        <w:keepNext w:val="0"/>
        <w:spacing w:before="200" w:after="0" w:line="260" w:lineRule="exact"/>
        <w:ind w:left="1080" w:right="0" w:firstLine="0"/>
        <w:jc w:val="both"/>
      </w:pPr>
      <w:r>
        <w:rPr>
          <w:rFonts w:ascii="Times New Roman" w:hAnsi="Times New Roman" w:eastAsia="Times New Roman" w:cs="Times New Roman"/>
          <w:b w:val="0"/>
          <w:sz w:val="24"/>
        </w:rPr>
        <w:t>soil reports</w:t>
      </w:r>
    </w:p>
    <w:p>
      <w:pPr>
        <w:keepNext w:val="0"/>
        <w:spacing w:before="200" w:after="0" w:line="260" w:lineRule="exact"/>
        <w:ind w:left="1080" w:right="0" w:firstLine="0"/>
        <w:jc w:val="both"/>
      </w:pPr>
      <w:r>
        <w:rPr>
          <w:rFonts w:ascii="Times New Roman" w:hAnsi="Times New Roman" w:eastAsia="Times New Roman" w:cs="Times New Roman"/>
          <w:b w:val="0"/>
          <w:sz w:val="24"/>
        </w:rPr>
        <w:t>environmental reports</w:t>
      </w:r>
    </w:p>
    <w:p>
      <w:pPr>
        <w:keepNext w:val="0"/>
        <w:spacing w:before="200" w:after="0" w:line="260" w:lineRule="exact"/>
        <w:ind w:left="1080" w:right="0" w:firstLine="0"/>
        <w:jc w:val="both"/>
      </w:pPr>
      <w:r>
        <w:rPr>
          <w:rFonts w:ascii="Times New Roman" w:hAnsi="Times New Roman" w:eastAsia="Times New Roman" w:cs="Times New Roman"/>
          <w:b w:val="0"/>
          <w:sz w:val="24"/>
        </w:rPr>
        <w:t>water rights, flood zone reports</w:t>
      </w:r>
    </w:p>
    <w:p>
      <w:pPr>
        <w:keepNext w:val="0"/>
        <w:spacing w:before="200" w:after="0" w:line="260" w:lineRule="exact"/>
        <w:ind w:left="1080" w:right="0" w:firstLine="0"/>
        <w:jc w:val="both"/>
      </w:pPr>
      <w:r>
        <w:rPr>
          <w:rFonts w:ascii="Times New Roman" w:hAnsi="Times New Roman" w:eastAsia="Times New Roman" w:cs="Times New Roman"/>
          <w:b w:val="0"/>
          <w:sz w:val="24"/>
        </w:rPr>
        <w:t>engineering reports</w:t>
      </w:r>
    </w:p>
    <w:p>
      <w:pPr>
        <w:keepNext w:val="0"/>
        <w:spacing w:before="200" w:after="0" w:line="260" w:lineRule="exact"/>
        <w:ind w:left="1080" w:right="0" w:firstLine="0"/>
        <w:jc w:val="both"/>
      </w:pPr>
      <w:r>
        <w:rPr>
          <w:rFonts w:ascii="Times New Roman" w:hAnsi="Times New Roman" w:eastAsia="Times New Roman" w:cs="Times New Roman"/>
          <w:b/>
          <w:sz w:val="24"/>
        </w:rPr>
        <w:t>Financial:</w:t>
      </w:r>
    </w:p>
    <w:p>
      <w:pPr>
        <w:keepNext w:val="0"/>
        <w:spacing w:before="200" w:after="0" w:line="260" w:lineRule="exact"/>
        <w:ind w:left="1080" w:right="0" w:firstLine="0"/>
        <w:jc w:val="both"/>
      </w:pPr>
      <w:r>
        <w:rPr>
          <w:rFonts w:ascii="Times New Roman" w:hAnsi="Times New Roman" w:eastAsia="Times New Roman" w:cs="Times New Roman"/>
          <w:b w:val="0"/>
          <w:sz w:val="24"/>
        </w:rPr>
        <w:t>books and records for the Property</w:t>
      </w:r>
    </w:p>
    <w:p>
      <w:pPr>
        <w:keepNext w:val="0"/>
        <w:spacing w:before="200" w:after="0" w:line="260" w:lineRule="exact"/>
        <w:ind w:left="1080" w:right="0" w:firstLine="0"/>
        <w:jc w:val="both"/>
      </w:pPr>
      <w:r>
        <w:rPr>
          <w:rFonts w:ascii="Times New Roman" w:hAnsi="Times New Roman" w:eastAsia="Times New Roman" w:cs="Times New Roman"/>
          <w:b w:val="0"/>
          <w:sz w:val="24"/>
        </w:rPr>
        <w:t>utility bills for the most recent six (6) months of operation</w:t>
      </w:r>
    </w:p>
    <w:p>
      <w:pPr>
        <w:keepNext w:val="0"/>
        <w:spacing w:before="200" w:after="0" w:line="260" w:lineRule="exact"/>
        <w:ind w:left="1080" w:right="0" w:firstLine="0"/>
        <w:jc w:val="both"/>
      </w:pPr>
      <w:r>
        <w:rPr>
          <w:rFonts w:ascii="Times New Roman" w:hAnsi="Times New Roman" w:eastAsia="Times New Roman" w:cs="Times New Roman"/>
          <w:b/>
          <w:sz w:val="24"/>
        </w:rPr>
        <w:t>Leases:</w:t>
      </w:r>
    </w:p>
    <w:p>
      <w:pPr>
        <w:keepNext w:val="0"/>
        <w:spacing w:before="200" w:after="0" w:line="260" w:lineRule="exact"/>
        <w:ind w:left="1080" w:right="0" w:firstLine="0"/>
        <w:jc w:val="both"/>
      </w:pPr>
      <w:r>
        <w:rPr>
          <w:rFonts w:ascii="Times New Roman" w:hAnsi="Times New Roman" w:eastAsia="Times New Roman" w:cs="Times New Roman"/>
          <w:b w:val="0"/>
          <w:sz w:val="24"/>
        </w:rPr>
        <w:t>leases with tenants, if any</w:t>
      </w:r>
    </w:p>
    <w:p>
      <w:pPr>
        <w:keepNext w:val="0"/>
        <w:spacing w:before="200" w:after="0" w:line="260" w:lineRule="exact"/>
        <w:ind w:left="1080" w:right="0" w:firstLine="0"/>
        <w:jc w:val="both"/>
      </w:pPr>
      <w:r>
        <w:rPr>
          <w:rFonts w:ascii="Times New Roman" w:hAnsi="Times New Roman" w:eastAsia="Times New Roman" w:cs="Times New Roman"/>
          <w:b/>
          <w:sz w:val="24"/>
        </w:rPr>
        <w:t>Surveys and Plans: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all surveys or drawings of all site infrastructure for the Property (including but not limited to all streets, drainage, water facilities and sanitary sewer facilities serving the Property); (ii) all proposed or approved master plans for utilities and access, drainage permits, stormwater permits, other approvals; (iii) all existing surveys of the Property; (iv) any previous appraisal reports; and (v) any recorded restrictions or covenants affecting the Property. </w:t>
      </w:r>
    </w:p>
    <w:p>
      <w:pPr>
        <w:keepNext w:val="0"/>
        <w:spacing w:before="120" w:after="0" w:line="260" w:lineRule="exact"/>
        <w:ind w:left="360" w:right="0" w:firstLine="0"/>
        <w:jc w:val="left"/>
      </w:pPr>
      <w:r>
        <w:rPr>
          <w:rFonts w:ascii="Times New Roman" w:hAnsi="Times New Roman" w:eastAsia="Times New Roman" w:cs="Times New Roman"/>
          <w:b w:val="0"/>
          <w:sz w:val="24"/>
        </w:rPr>
        <w:t>Exhibit 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 Statements, and Certificates.</w:t>
      </w:r>
    </w:p>
    <w:p>
      <w:pPr>
        <w:keepNext w:val="0"/>
        <w:spacing w:before="200" w:after="0" w:line="260" w:lineRule="exact"/>
        <w:ind w:left="720" w:right="0" w:firstLine="0"/>
        <w:jc w:val="both"/>
      </w:pPr>
      <w:r>
        <w:rPr>
          <w:rFonts w:ascii="Times New Roman" w:hAnsi="Times New Roman" w:eastAsia="Times New Roman" w:cs="Times New Roman"/>
          <w:b w:val="0"/>
          <w:sz w:val="24"/>
        </w:rPr>
        <w:t>The following notices, statements, and certificates are attached for delivery to Buyer, and Buyer acknowledges receipt of the notices, statements, and certificates by executing this Contract: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Notice concerning the bonded indebtedness of, or tax rates and fees to be charged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utility or other special district, described in Tex. Water Code §§ 49.452 and 54.016(h)(4)(</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 the form of notice to be used being dependent on whether the property is (1) located in whole or in part within the extraterritorial jurisdiction of one or more home-rule municipalities but is not located within the corporate boundaries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municipality, (2) located in whole or in part within the corporate boundaries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municipality, or (3) not located in whole or in part within the corporate boundaries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municipality or the extraterritorial jurisdiction of one or more home-rule municipalities.</w:t>
      </w:r>
    </w:p>
    <w:p>
      <w:pPr>
        <w:keepNext w:val="0"/>
        <w:spacing w:before="200" w:after="0" w:line="260" w:lineRule="exact"/>
        <w:ind w:left="1080" w:right="0" w:firstLine="0"/>
        <w:jc w:val="both"/>
      </w:pPr>
      <w:r>
        <w:rPr>
          <w:rFonts w:ascii="Times New Roman" w:hAnsi="Times New Roman" w:eastAsia="Times New Roman" w:cs="Times New Roman"/>
          <w:b w:val="0"/>
          <w:sz w:val="24"/>
        </w:rPr>
        <w:t>Seller’s disclosure of the condition of residential property, described in Tex. Prop. Code § 5.008.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Notice of additional tax liability for vacant land that has been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tax appraisal method, described in Tex. Prop. Code § 5.010.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Notice containing the sale of property located outside the limits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municipality that may now or later be included in the extraterritorial jurisdiction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municipality and may now or later be subject to annexation by the municipality, described in Tex. Prop. Code § 5.011.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Notice concerning the sale of single family residential property that is subject to membership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property owners association, described in Tex. Prop. Code § 5.012.</w:t>
      </w:r>
    </w:p>
    <w:p>
      <w:pPr>
        <w:keepNext w:val="0"/>
        <w:spacing w:before="200" w:after="0" w:line="260" w:lineRule="exact"/>
        <w:ind w:left="1080" w:right="0" w:firstLine="0"/>
        <w:jc w:val="both"/>
      </w:pPr>
      <w:r>
        <w:rPr>
          <w:rFonts w:ascii="Times New Roman" w:hAnsi="Times New Roman" w:eastAsia="Times New Roman" w:cs="Times New Roman"/>
          <w:b w:val="0"/>
          <w:sz w:val="24"/>
        </w:rPr>
        <w:t>Seller’s disclosure of the location of pipelines under the surface of unimproved property to be used for residential purposes, described in Tex. Prop. Code § 5.013.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Seller’s disclosure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single-family residential property is located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improvement district, described in Tex. Prop. Code § 5.014.</w:t>
      </w:r>
    </w:p>
    <w:p>
      <w:pPr>
        <w:keepNext w:val="0"/>
        <w:spacing w:before="200" w:after="0" w:line="260" w:lineRule="exact"/>
        <w:ind w:left="1080" w:right="0" w:firstLine="0"/>
        <w:jc w:val="both"/>
      </w:pPr>
      <w:r>
        <w:rPr>
          <w:rFonts w:ascii="Times New Roman" w:hAnsi="Times New Roman" w:eastAsia="Times New Roman" w:cs="Times New Roman"/>
          <w:b w:val="0"/>
          <w:sz w:val="24"/>
        </w:rPr>
        <w:t>Notice of deed restrictions, described in Tex. Loc. Gov’t. Code § 212.135.</w:t>
      </w:r>
    </w:p>
    <w:p>
      <w:pPr>
        <w:keepNext w:val="0"/>
        <w:spacing w:before="200" w:after="0" w:line="260" w:lineRule="exact"/>
        <w:ind w:left="1080" w:right="0" w:firstLine="0"/>
        <w:jc w:val="both"/>
      </w:pPr>
      <w:r>
        <w:rPr>
          <w:rFonts w:ascii="Times New Roman" w:hAnsi="Times New Roman" w:eastAsia="Times New Roman" w:cs="Times New Roman"/>
          <w:b w:val="0"/>
          <w:sz w:val="24"/>
        </w:rPr>
        <w:t>Notice concerning underground storage tanks, described in 30 Tex. Admin. Code § 334.9.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Notice for unimproved property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certificated service area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utility service provider, described in Tex. Water Code § 13.257.</w:t>
      </w:r>
    </w:p>
    <w:p>
      <w:pPr>
        <w:keepNext w:val="0"/>
        <w:spacing w:before="200" w:after="0" w:line="260" w:lineRule="exact"/>
        <w:ind w:left="1080" w:right="0" w:firstLine="0"/>
        <w:jc w:val="both"/>
      </w:pPr>
      <w:r>
        <w:rPr>
          <w:rFonts w:ascii="Times New Roman" w:hAnsi="Times New Roman" w:eastAsia="Times New Roman" w:cs="Times New Roman"/>
          <w:b w:val="0"/>
          <w:sz w:val="24"/>
        </w:rPr>
        <w:t>Insurance notice to applicant, described in Tex. Fin. Code § 343.104.</w:t>
      </w:r>
    </w:p>
    <w:p>
      <w:pPr>
        <w:keepNext w:val="0"/>
        <w:spacing w:before="200" w:after="0" w:line="260" w:lineRule="exact"/>
        <w:ind w:left="1080" w:right="0" w:firstLine="0"/>
        <w:jc w:val="both"/>
      </w:pPr>
      <w:r>
        <w:rPr>
          <w:rFonts w:ascii="Times New Roman" w:hAnsi="Times New Roman" w:eastAsia="Times New Roman" w:cs="Times New Roman"/>
          <w:b w:val="0"/>
          <w:sz w:val="24"/>
        </w:rPr>
        <w:t>Notice concerning public easements to the public beach, described in Tex. Nat. Res. Code § 61.025.</w:t>
      </w:r>
    </w:p>
    <w:p>
      <w:pPr>
        <w:keepNext w:val="0"/>
        <w:spacing w:before="200" w:after="0" w:line="260" w:lineRule="exact"/>
        <w:ind w:left="1080" w:right="0" w:firstLine="0"/>
        <w:jc w:val="both"/>
      </w:pPr>
      <w:r>
        <w:rPr>
          <w:rFonts w:ascii="Times New Roman" w:hAnsi="Times New Roman" w:eastAsia="Times New Roman" w:cs="Times New Roman"/>
          <w:b w:val="0"/>
          <w:sz w:val="24"/>
        </w:rPr>
        <w:t>Notice regarding real property located adjacent to tidally influenced, submerged lands of Texas, described in Tex. Nat. Res. Code § 33.135.</w:t>
      </w:r>
    </w:p>
    <w:p>
      <w:pPr>
        <w:keepNext w:val="0"/>
        <w:spacing w:before="200" w:after="0" w:line="260" w:lineRule="exact"/>
        <w:ind w:left="1080" w:right="0" w:firstLine="0"/>
        <w:jc w:val="both"/>
      </w:pPr>
      <w:r>
        <w:rPr>
          <w:rFonts w:ascii="Times New Roman" w:hAnsi="Times New Roman" w:eastAsia="Times New Roman" w:cs="Times New Roman"/>
          <w:b w:val="0"/>
          <w:sz w:val="24"/>
        </w:rPr>
        <w:t>Lead-paint warning statement, described in section 745.100, et seq. of title 40 of the Code of Federal Regulations.</w:t>
      </w:r>
    </w:p>
    <w:p>
      <w:pPr>
        <w:keepNext w:val="0"/>
        <w:spacing w:before="200" w:after="0" w:line="260" w:lineRule="exact"/>
        <w:ind w:left="1080" w:right="0" w:firstLine="0"/>
        <w:jc w:val="both"/>
      </w:pPr>
      <w:r>
        <w:rPr>
          <w:rFonts w:ascii="Times New Roman" w:hAnsi="Times New Roman" w:eastAsia="Times New Roman" w:cs="Times New Roman"/>
          <w:b w:val="0"/>
          <w:sz w:val="24"/>
        </w:rPr>
        <w:t>Notice concerning asbestos, described in sections 1910.1001 and 1926.1101 of title 29 of the Code of Federal Regulations.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Buyer is advised that the presence of wetlands, toxic substances and other waste or environmental hazards, or the presence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threatened or endangered specifies or its habitat may affect Buyer’s intended use of the Property.  If Buyer is concerned about these matters, Seller and Buyer should enter into additional addenda or exhibits concerning Buyer’s rights hereunder.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Property may be located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Texas Agriculture Development District.  For additional information, contact the Texas Department of Agriculture.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Notice concerning the bonded indebtedness of, or rates to be charged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utility or other special district, described in Tex. Water Code §§ 49.452 and 54.016(h)(4)(</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Texas Water Code, with the form of notice to be used being dependent on whether the property is (1) located in whole or in part within the extraterritorial jurisdiction of one or more home-rule municipalities but is not located within the corporate boundaries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municipality, (2) located in whole or in part within the corporate boundaries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municipality, or (3) not located in whole or in part within the corporate boundaries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municipality or the extraterritorial jurisdiction of one or more home-rule municipalities.</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certificate from the tax collector of each taxing unit that collects taxes due on the property.</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legible copy of any insurance policy, binder or other evidence relating to the property that indicates the name of the insurer and the insured,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property insured and the amount for which the property is insured.</w:t>
      </w:r>
    </w:p>
    <w:p>
      <w:pPr>
        <w:keepNext w:val="0"/>
        <w:spacing w:before="120" w:after="0" w:line="260" w:lineRule="exact"/>
        <w:ind w:left="360" w:right="0" w:firstLine="0"/>
        <w:jc w:val="left"/>
      </w:pPr>
      <w:r>
        <w:rPr>
          <w:rFonts w:ascii="Times New Roman" w:hAnsi="Times New Roman" w:eastAsia="Times New Roman" w:cs="Times New Roman"/>
          <w:b w:val="0"/>
          <w:sz w:val="24"/>
        </w:rPr>
        <w:t>Exhibit 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Survey Requirements.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Scale of 1” = 20 feet (or as needed for 24”x36” sheet).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North Arrow</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Name of City, County and State with either tax parcel number or subdivision, lot, block, section, township, and range.</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Elevation datum to be USGS Mean Sea Level Datum (MSL) or municipal datum.  Indicate equation between municipal and MSL, if available.  Assumed datum only to be used when specified datum is not available.</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horizontal dimensions shown on the survey to be in feet and decimals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foot to the closest one-hundredth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foot; and all bearings in degrees, minutes, and seconds to the nearest second.</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surveys shall extend 50’- 0” into adjacent properties.</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Adjacent property owners name and address.</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List of utility company’s names and addresses.</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Area/vicinity map.</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all curves, provide length and bearing cord.</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Permanent benchmark reference. (Provide 2)</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dimensions and angles, or courses and bearings of boundaries.</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Corner monuments.</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Streets and alleys, public or private, including dedicated, but unopened streets, and alleys.</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Existing physical boundaries, such as fences, walls, etc., indicating any deviation from true boundary lines.</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buildings and other improvements with descriptions, dimensions, and location. Also include any buildings located on adjacent properties within 100’.</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encroachments from or on said property, easements or rights-of-way, public or private, recorded, unrecorded, or established by usage.</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deficiencies between deed description and boundary lines.</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Sidewalks width and distance to curb and property line and condition of walk.  Include spot elevations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 25’ intervals and at all grade breaks.</w:t>
      </w:r>
    </w:p>
    <w:p>
      <w:pPr>
        <w:keepNext w:val="0"/>
        <w:spacing w:before="120" w:after="0" w:line="260" w:lineRule="exact"/>
        <w:ind w:left="720" w:right="0" w:firstLine="0"/>
        <w:jc w:val="left"/>
      </w:pPr>
      <w:r>
        <w:rPr>
          <w:rFonts w:ascii="Times New Roman" w:hAnsi="Times New Roman" w:eastAsia="Times New Roman" w:cs="Times New Roman"/>
          <w:b w:val="0"/>
          <w:sz w:val="24"/>
        </w:rPr>
        <w:t>20.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Curb and curb-out locations and type of curb.</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Name of streets, width and type of pavement, R.O.W. width and Center line of road.  Indicate any safety islands.</w:t>
      </w:r>
    </w:p>
    <w:p>
      <w:pPr>
        <w:keepNext w:val="0"/>
        <w:spacing w:before="120" w:after="0" w:line="260" w:lineRule="exact"/>
        <w:ind w:left="720" w:right="0" w:firstLine="0"/>
        <w:jc w:val="left"/>
      </w:pPr>
      <w:r>
        <w:rPr>
          <w:rFonts w:ascii="Times New Roman" w:hAnsi="Times New Roman" w:eastAsia="Times New Roman" w:cs="Times New Roman"/>
          <w:b w:val="0"/>
          <w:sz w:val="24"/>
        </w:rPr>
        <w:t>22.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inside lot, give distance and direction to nearest street intersection.</w:t>
      </w:r>
    </w:p>
    <w:p>
      <w:pPr>
        <w:keepNext w:val="0"/>
        <w:spacing w:before="120" w:after="0" w:line="260" w:lineRule="exact"/>
        <w:ind w:left="720" w:right="0" w:firstLine="0"/>
        <w:jc w:val="left"/>
      </w:pPr>
      <w:r>
        <w:rPr>
          <w:rFonts w:ascii="Times New Roman" w:hAnsi="Times New Roman" w:eastAsia="Times New Roman" w:cs="Times New Roman"/>
          <w:b w:val="0"/>
          <w:sz w:val="24"/>
        </w:rPr>
        <w:t>23.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Spot elevations on adjacent streets at centerline, edge of pavement (or gutter lines) at Max. 25’ intervals and at each intersecting street and major utility easement/corridor, property lines, and at all grade breaks and drainage, or utility crossings.  Show elevations of all walks, building floors and adjacent properties (if permissible), and ditch lines.</w:t>
      </w:r>
    </w:p>
    <w:p>
      <w:pPr>
        <w:keepNext w:val="0"/>
        <w:spacing w:before="120" w:after="0" w:line="260" w:lineRule="exact"/>
        <w:ind w:left="720" w:right="0" w:firstLine="0"/>
        <w:jc w:val="left"/>
      </w:pPr>
      <w:r>
        <w:rPr>
          <w:rFonts w:ascii="Times New Roman" w:hAnsi="Times New Roman" w:eastAsia="Times New Roman" w:cs="Times New Roman"/>
          <w:b w:val="0"/>
          <w:sz w:val="24"/>
        </w:rPr>
        <w:t>24.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Railroad rails and adjacent properties at least 50’-0” from property lines.  Show surface elevation of any body of water within 100’ of property.</w:t>
      </w:r>
    </w:p>
    <w:p>
      <w:pPr>
        <w:keepNext w:val="0"/>
        <w:spacing w:before="120" w:after="0" w:line="260" w:lineRule="exact"/>
        <w:ind w:left="720" w:right="0" w:firstLine="0"/>
        <w:jc w:val="left"/>
      </w:pPr>
      <w:r>
        <w:rPr>
          <w:rFonts w:ascii="Times New Roman" w:hAnsi="Times New Roman" w:eastAsia="Times New Roman" w:cs="Times New Roman"/>
          <w:b w:val="0"/>
          <w:sz w:val="24"/>
        </w:rPr>
        <w:t>25.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General direction of surface drainage and disposal of storm drainage.</w:t>
      </w:r>
    </w:p>
    <w:p>
      <w:pPr>
        <w:keepNext w:val="0"/>
        <w:spacing w:before="120" w:after="0" w:line="260" w:lineRule="exact"/>
        <w:ind w:left="720" w:right="0" w:firstLine="0"/>
        <w:jc w:val="left"/>
      </w:pPr>
      <w:r>
        <w:rPr>
          <w:rFonts w:ascii="Times New Roman" w:hAnsi="Times New Roman" w:eastAsia="Times New Roman" w:cs="Times New Roman"/>
          <w:b w:val="0"/>
          <w:sz w:val="24"/>
        </w:rPr>
        <w:t>26.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Location of any test borings evident.</w:t>
      </w:r>
    </w:p>
    <w:p>
      <w:pPr>
        <w:keepNext w:val="0"/>
        <w:spacing w:before="120" w:after="0" w:line="260" w:lineRule="exact"/>
        <w:ind w:left="720" w:right="0" w:firstLine="0"/>
        <w:jc w:val="left"/>
      </w:pPr>
      <w:r>
        <w:rPr>
          <w:rFonts w:ascii="Times New Roman" w:hAnsi="Times New Roman" w:eastAsia="Times New Roman" w:cs="Times New Roman"/>
          <w:b w:val="0"/>
          <w:sz w:val="24"/>
        </w:rPr>
        <w:t>27.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Utility poles (Name Company Servicing). Telephone and power utility services for both above ground and underground type services. (Show poles if applicable)</w:t>
      </w:r>
    </w:p>
    <w:p>
      <w:pPr>
        <w:keepNext w:val="0"/>
        <w:spacing w:before="120" w:after="0" w:line="260" w:lineRule="exact"/>
        <w:ind w:left="720" w:right="0" w:firstLine="0"/>
        <w:jc w:val="left"/>
      </w:pPr>
      <w:r>
        <w:rPr>
          <w:rFonts w:ascii="Times New Roman" w:hAnsi="Times New Roman" w:eastAsia="Times New Roman" w:cs="Times New Roman"/>
          <w:b w:val="0"/>
          <w:sz w:val="24"/>
        </w:rPr>
        <w:t>28.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Storm and sanitary sewers - (location, size, direction of flow, inverts elevations) fall per foot and location of inverts.  Provide definite distinction between sanitary and storm.</w:t>
      </w:r>
    </w:p>
    <w:p>
      <w:pPr>
        <w:keepNext w:val="0"/>
        <w:spacing w:before="120" w:after="0" w:line="260" w:lineRule="exact"/>
        <w:ind w:left="720" w:right="0" w:firstLine="0"/>
        <w:jc w:val="left"/>
      </w:pPr>
      <w:r>
        <w:rPr>
          <w:rFonts w:ascii="Times New Roman" w:hAnsi="Times New Roman" w:eastAsia="Times New Roman" w:cs="Times New Roman"/>
          <w:b w:val="0"/>
          <w:sz w:val="24"/>
        </w:rPr>
        <w:t>29.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Manholes and catch basins, top, invert elevations and bottoms.</w:t>
      </w:r>
    </w:p>
    <w:p>
      <w:pPr>
        <w:keepNext w:val="0"/>
        <w:spacing w:before="120" w:after="0" w:line="260" w:lineRule="exact"/>
        <w:ind w:left="720" w:right="0" w:firstLine="0"/>
        <w:jc w:val="left"/>
      </w:pPr>
      <w:r>
        <w:rPr>
          <w:rFonts w:ascii="Times New Roman" w:hAnsi="Times New Roman" w:eastAsia="Times New Roman" w:cs="Times New Roman"/>
          <w:b w:val="0"/>
          <w:sz w:val="24"/>
        </w:rPr>
        <w:t>30.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Water mains (meter valve location, size, depth, company servicing).</w:t>
      </w:r>
    </w:p>
    <w:p>
      <w:pPr>
        <w:keepNext w:val="0"/>
        <w:spacing w:before="120" w:after="0" w:line="260" w:lineRule="exact"/>
        <w:ind w:left="720" w:right="0" w:firstLine="0"/>
        <w:jc w:val="left"/>
      </w:pPr>
      <w:r>
        <w:rPr>
          <w:rFonts w:ascii="Times New Roman" w:hAnsi="Times New Roman" w:eastAsia="Times New Roman" w:cs="Times New Roman"/>
          <w:b w:val="0"/>
          <w:sz w:val="24"/>
        </w:rPr>
        <w:t>31.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Fire hydrants.  (Show all fire hydrants within 500 feet of subject parcel – use notes if limited in graphical representation.)</w:t>
      </w:r>
    </w:p>
    <w:p>
      <w:pPr>
        <w:keepNext w:val="0"/>
        <w:spacing w:before="120" w:after="0" w:line="260" w:lineRule="exact"/>
        <w:ind w:left="720" w:right="0" w:firstLine="0"/>
        <w:jc w:val="left"/>
      </w:pPr>
      <w:r>
        <w:rPr>
          <w:rFonts w:ascii="Times New Roman" w:hAnsi="Times New Roman" w:eastAsia="Times New Roman" w:cs="Times New Roman"/>
          <w:b w:val="0"/>
          <w:sz w:val="24"/>
        </w:rPr>
        <w:t>32.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Gas mains (location, size, depth, company servicing).</w:t>
      </w:r>
    </w:p>
    <w:p>
      <w:pPr>
        <w:keepNext w:val="0"/>
        <w:spacing w:before="120" w:after="0" w:line="260" w:lineRule="exact"/>
        <w:ind w:left="720" w:right="0" w:firstLine="0"/>
        <w:jc w:val="left"/>
      </w:pPr>
      <w:r>
        <w:rPr>
          <w:rFonts w:ascii="Times New Roman" w:hAnsi="Times New Roman" w:eastAsia="Times New Roman" w:cs="Times New Roman"/>
          <w:b w:val="0"/>
          <w:sz w:val="24"/>
        </w:rPr>
        <w:t>33.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Street lights.</w:t>
      </w:r>
    </w:p>
    <w:p>
      <w:pPr>
        <w:keepNext w:val="0"/>
        <w:spacing w:before="120" w:after="0" w:line="260" w:lineRule="exact"/>
        <w:ind w:left="720" w:right="0" w:firstLine="0"/>
        <w:jc w:val="left"/>
      </w:pPr>
      <w:r>
        <w:rPr>
          <w:rFonts w:ascii="Times New Roman" w:hAnsi="Times New Roman" w:eastAsia="Times New Roman" w:cs="Times New Roman"/>
          <w:b w:val="0"/>
          <w:sz w:val="24"/>
        </w:rPr>
        <w:t>34.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Location of any trees of significant or historical note over 4” in diameter.</w:t>
      </w:r>
    </w:p>
    <w:p>
      <w:pPr>
        <w:keepNext w:val="0"/>
        <w:spacing w:before="120" w:after="0" w:line="260" w:lineRule="exact"/>
        <w:ind w:left="720" w:right="0" w:firstLine="0"/>
        <w:jc w:val="left"/>
      </w:pPr>
      <w:r>
        <w:rPr>
          <w:rFonts w:ascii="Times New Roman" w:hAnsi="Times New Roman" w:eastAsia="Times New Roman" w:cs="Times New Roman"/>
          <w:b w:val="0"/>
          <w:sz w:val="24"/>
        </w:rPr>
        <w:t>35.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Names of owners of adjacent properties within 5’ from any property line, and on the opposite side of fronting street.</w:t>
      </w:r>
    </w:p>
    <w:p>
      <w:pPr>
        <w:keepNext w:val="0"/>
        <w:spacing w:before="120" w:after="0" w:line="260" w:lineRule="exact"/>
        <w:ind w:left="720" w:right="0" w:firstLine="0"/>
        <w:jc w:val="left"/>
      </w:pPr>
      <w:r>
        <w:rPr>
          <w:rFonts w:ascii="Times New Roman" w:hAnsi="Times New Roman" w:eastAsia="Times New Roman" w:cs="Times New Roman"/>
          <w:b w:val="0"/>
          <w:sz w:val="24"/>
        </w:rPr>
        <w:t>36.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Label property and adjacent property use (or vacant) and zoning classification.</w:t>
      </w:r>
    </w:p>
    <w:p>
      <w:pPr>
        <w:keepNext w:val="0"/>
        <w:spacing w:before="120" w:after="0" w:line="260" w:lineRule="exact"/>
        <w:ind w:left="720" w:right="0" w:firstLine="0"/>
        <w:jc w:val="left"/>
      </w:pPr>
      <w:r>
        <w:rPr>
          <w:rFonts w:ascii="Times New Roman" w:hAnsi="Times New Roman" w:eastAsia="Times New Roman" w:cs="Times New Roman"/>
          <w:b w:val="0"/>
          <w:sz w:val="24"/>
        </w:rPr>
        <w:t>37.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Show paved areas adjacent to property.</w:t>
      </w:r>
    </w:p>
    <w:p>
      <w:pPr>
        <w:keepNext w:val="0"/>
        <w:spacing w:before="120" w:after="0" w:line="260" w:lineRule="exact"/>
        <w:ind w:left="720" w:right="0" w:firstLine="0"/>
        <w:jc w:val="left"/>
      </w:pPr>
      <w:r>
        <w:rPr>
          <w:rFonts w:ascii="Times New Roman" w:hAnsi="Times New Roman" w:eastAsia="Times New Roman" w:cs="Times New Roman"/>
          <w:b w:val="0"/>
          <w:sz w:val="24"/>
        </w:rPr>
        <w:t>38.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Show flood plain elevation and limits and flood map number, if applicable. Provide FIRM panel number, date and flood zone designation.</w:t>
      </w:r>
    </w:p>
    <w:p>
      <w:pPr>
        <w:keepNext w:val="0"/>
        <w:spacing w:before="120" w:after="0" w:line="260" w:lineRule="exact"/>
        <w:ind w:left="720" w:right="0" w:firstLine="0"/>
        <w:jc w:val="left"/>
      </w:pPr>
      <w:r>
        <w:rPr>
          <w:rFonts w:ascii="Times New Roman" w:hAnsi="Times New Roman" w:eastAsia="Times New Roman" w:cs="Times New Roman"/>
          <w:b w:val="0"/>
          <w:sz w:val="24"/>
        </w:rPr>
        <w:t>39.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Indicate source and title of owner and place of last instrument in the chain of title.</w:t>
      </w:r>
    </w:p>
    <w:p>
      <w:pPr>
        <w:keepNext w:val="0"/>
        <w:spacing w:before="120" w:after="0" w:line="260" w:lineRule="exact"/>
        <w:ind w:left="720" w:right="0" w:firstLine="0"/>
        <w:jc w:val="left"/>
      </w:pPr>
      <w:r>
        <w:rPr>
          <w:rFonts w:ascii="Times New Roman" w:hAnsi="Times New Roman" w:eastAsia="Times New Roman" w:cs="Times New Roman"/>
          <w:b w:val="0"/>
          <w:sz w:val="24"/>
        </w:rPr>
        <w:t>40.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Location, type, and size of ingress and egress to the site.</w:t>
      </w:r>
    </w:p>
    <w:p>
      <w:pPr>
        <w:keepNext w:val="0"/>
        <w:spacing w:before="120" w:after="0" w:line="260" w:lineRule="exact"/>
        <w:ind w:left="720" w:right="0" w:firstLine="0"/>
        <w:jc w:val="left"/>
      </w:pPr>
      <w:r>
        <w:rPr>
          <w:rFonts w:ascii="Times New Roman" w:hAnsi="Times New Roman" w:eastAsia="Times New Roman" w:cs="Times New Roman"/>
          <w:b w:val="0"/>
          <w:sz w:val="24"/>
        </w:rPr>
        <w:t>41.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Off-street parking and parking bays, loading spaces, angle and size of stalls, and aisle widths if applicable.</w:t>
      </w:r>
    </w:p>
    <w:p>
      <w:pPr>
        <w:keepNext w:val="0"/>
        <w:spacing w:before="120" w:after="0" w:line="260" w:lineRule="exact"/>
        <w:ind w:left="720" w:right="0" w:firstLine="0"/>
        <w:jc w:val="left"/>
      </w:pPr>
      <w:r>
        <w:rPr>
          <w:rFonts w:ascii="Times New Roman" w:hAnsi="Times New Roman" w:eastAsia="Times New Roman" w:cs="Times New Roman"/>
          <w:b w:val="0"/>
          <w:sz w:val="24"/>
        </w:rPr>
        <w:t>42.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Number of floors, finished floor elevation (FFE), floor area, height and location of each building if existing.</w:t>
      </w:r>
    </w:p>
    <w:p>
      <w:pPr>
        <w:keepNext w:val="0"/>
        <w:spacing w:before="120" w:after="0" w:line="260" w:lineRule="exact"/>
        <w:ind w:left="720" w:right="0" w:firstLine="0"/>
        <w:jc w:val="left"/>
      </w:pPr>
      <w:r>
        <w:rPr>
          <w:rFonts w:ascii="Times New Roman" w:hAnsi="Times New Roman" w:eastAsia="Times New Roman" w:cs="Times New Roman"/>
          <w:b w:val="0"/>
          <w:sz w:val="24"/>
        </w:rPr>
        <w:t>43.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Existing topography accurately shown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of 1 ft. contour line intervals, including enough adjacent property to show unusual conditions with existing elevations (On low sloping properties maximum intervals to be 1 ft.).</w:t>
      </w:r>
    </w:p>
    <w:p>
      <w:pPr>
        <w:keepNext w:val="0"/>
        <w:spacing w:before="120" w:after="0" w:line="260" w:lineRule="exact"/>
        <w:ind w:left="720" w:right="0" w:firstLine="0"/>
        <w:jc w:val="left"/>
      </w:pPr>
      <w:r>
        <w:rPr>
          <w:rFonts w:ascii="Times New Roman" w:hAnsi="Times New Roman" w:eastAsia="Times New Roman" w:cs="Times New Roman"/>
          <w:b w:val="0"/>
          <w:sz w:val="24"/>
        </w:rPr>
        <w:t>44.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known restricted area (e.g., wetlands, conservation areas).</w:t>
      </w:r>
    </w:p>
    <w:p>
      <w:pPr>
        <w:keepNext w:val="0"/>
        <w:spacing w:before="120" w:after="0" w:line="260" w:lineRule="exact"/>
        <w:ind w:left="720" w:right="0" w:firstLine="0"/>
        <w:jc w:val="left"/>
      </w:pPr>
      <w:r>
        <w:rPr>
          <w:rFonts w:ascii="Times New Roman" w:hAnsi="Times New Roman" w:eastAsia="Times New Roman" w:cs="Times New Roman"/>
          <w:b w:val="0"/>
          <w:sz w:val="24"/>
        </w:rPr>
        <w:t>45.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Metes and bounds legal description (if applicable).</w:t>
      </w:r>
    </w:p>
    <w:p>
      <w:pPr>
        <w:keepNext w:val="0"/>
        <w:spacing w:before="120" w:after="0" w:line="260" w:lineRule="exact"/>
        <w:ind w:left="720" w:right="0" w:firstLine="0"/>
        <w:jc w:val="left"/>
      </w:pPr>
      <w:r>
        <w:rPr>
          <w:rFonts w:ascii="Times New Roman" w:hAnsi="Times New Roman" w:eastAsia="Times New Roman" w:cs="Times New Roman"/>
          <w:b w:val="0"/>
          <w:sz w:val="24"/>
        </w:rPr>
        <w:t>46.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Area of subject property in acres (to 3 digits i.e., 2.567 acres) and square feet.</w:t>
      </w:r>
    </w:p>
    <w:p>
      <w:pPr>
        <w:keepNext w:val="0"/>
        <w:spacing w:before="120" w:after="0" w:line="260" w:lineRule="exact"/>
        <w:ind w:left="720" w:right="0" w:firstLine="0"/>
        <w:jc w:val="left"/>
      </w:pPr>
      <w:r>
        <w:rPr>
          <w:rFonts w:ascii="Times New Roman" w:hAnsi="Times New Roman" w:eastAsia="Times New Roman" w:cs="Times New Roman"/>
          <w:b w:val="0"/>
          <w:sz w:val="24"/>
        </w:rPr>
        <w:t>47.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Survey shall meet the minimum technical requirements adopted by ALTA and NSPS and meet the accuracy requirements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survey.  The surveyor shall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3 foot high wood stake at each property corner, radius tangent point or other similar significant locations.  Stakes shall be placed with brightly colored ribbons or paint for easy identification.  Stakes shall have identification marked (i.e., N.E. Corner Lot 1).</w:t>
      </w:r>
    </w:p>
    <w:p>
      <w:pPr>
        <w:keepNext w:val="0"/>
        <w:spacing w:before="120" w:after="0" w:line="260" w:lineRule="exact"/>
        <w:ind w:left="720" w:right="0" w:firstLine="0"/>
        <w:jc w:val="left"/>
      </w:pPr>
      <w:r>
        <w:rPr>
          <w:rFonts w:ascii="Times New Roman" w:hAnsi="Times New Roman" w:eastAsia="Times New Roman" w:cs="Times New Roman"/>
          <w:b w:val="0"/>
          <w:sz w:val="24"/>
        </w:rPr>
        <w:t>48.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Point of beginning must be tied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corner or established point and labeled on survey.</w:t>
      </w:r>
    </w:p>
    <w:p>
      <w:pPr>
        <w:keepNext w:val="0"/>
        <w:spacing w:before="120" w:after="0" w:line="260" w:lineRule="exact"/>
        <w:ind w:left="720" w:right="0" w:firstLine="0"/>
        <w:jc w:val="left"/>
      </w:pPr>
      <w:r>
        <w:rPr>
          <w:rFonts w:ascii="Times New Roman" w:hAnsi="Times New Roman" w:eastAsia="Times New Roman" w:cs="Times New Roman"/>
          <w:b w:val="0"/>
          <w:sz w:val="24"/>
        </w:rPr>
        <w:t>49.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Include State Planes Coordinates. (Provide at 2 property corners).</w:t>
      </w:r>
    </w:p>
    <w:p>
      <w:pPr>
        <w:keepNext w:val="0"/>
        <w:spacing w:before="120" w:after="0" w:line="260" w:lineRule="exact"/>
        <w:ind w:left="720" w:right="0" w:firstLine="0"/>
        <w:jc w:val="left"/>
      </w:pPr>
      <w:r>
        <w:rPr>
          <w:rFonts w:ascii="Times New Roman" w:hAnsi="Times New Roman" w:eastAsia="Times New Roman" w:cs="Times New Roman"/>
          <w:b w:val="0"/>
          <w:sz w:val="24"/>
        </w:rPr>
        <w:t>50.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Provide 6 blueline copies signed and sealed by registered Land Surveyor or Engineer, 1 reproducible transparency Mylar/Sepia,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format on readable CD-ROM or similar, compatible with AutoCAD version 14, 2000 or 2002.</w:t>
      </w:r>
    </w:p>
    <w:p>
      <w:pPr>
        <w:keepNext w:val="0"/>
        <w:spacing w:before="120" w:after="0" w:line="260" w:lineRule="exact"/>
        <w:ind w:left="720" w:right="0" w:firstLine="0"/>
        <w:jc w:val="left"/>
      </w:pPr>
      <w:r>
        <w:rPr>
          <w:rFonts w:ascii="Times New Roman" w:hAnsi="Times New Roman" w:eastAsia="Times New Roman" w:cs="Times New Roman"/>
          <w:b w:val="0"/>
          <w:sz w:val="24"/>
        </w:rPr>
        <w:t>51.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gross area contained within the boundaries of the Property.</w:t>
      </w:r>
    </w:p>
    <w:p>
      <w:pPr>
        <w:keepNext w:val="0"/>
        <w:spacing w:before="120" w:after="0" w:line="260" w:lineRule="exact"/>
        <w:ind w:left="360" w:right="0" w:firstLine="0"/>
        <w:jc w:val="left"/>
      </w:pPr>
      <w:r>
        <w:rPr>
          <w:rFonts w:ascii="Times New Roman" w:hAnsi="Times New Roman" w:eastAsia="Times New Roman" w:cs="Times New Roman"/>
          <w:b w:val="0"/>
          <w:sz w:val="24"/>
        </w:rPr>
        <w:t>Exhibit 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Seller Financing Addendum.</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Promissory Note.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promissory note (“Note”) will be payable by Buyer (as Payor) to the order of Seller (as Payee) at the place designated by Payee.  The Note may be prepaid in whole or in part at any time without penalty, premium, or restriction of any kind.  Any prepayments are to be applied to the payment of the installments of principal last maturing, and interest will immediately cease on the prepaid principal.  The lien securing payment of the Note will be inferior to any lien securing any superior note described in the Agreement.  [</w:t>
      </w:r>
      <w:r>
        <w:rPr>
          <w:rFonts w:ascii="Times New Roman" w:hAnsi="Times New Roman" w:eastAsia="Times New Roman" w:cs="Times New Roman"/>
          <w:b/>
          <w:sz w:val="24"/>
        </w:rPr>
        <w:t>Alternate Provision to last sentence of Paragraph</w:t>
      </w:r>
      <w:r>
        <w:rPr>
          <w:rFonts w:ascii="Times New Roman" w:hAnsi="Times New Roman" w:eastAsia="Times New Roman" w:cs="Times New Roman"/>
          <w:b/>
          <w:sz w:val="24"/>
        </w:rPr>
        <w:t>A</w:t>
      </w:r>
      <w:r>
        <w:rPr>
          <w:rFonts w:ascii="Times New Roman" w:hAnsi="Times New Roman" w:eastAsia="Times New Roman" w:cs="Times New Roman"/>
          <w:b/>
          <w:sz w:val="24"/>
        </w:rPr>
        <w:t>.</w:t>
      </w:r>
      <w:r>
        <w:rPr>
          <w:rFonts w:ascii="Times New Roman" w:hAnsi="Times New Roman" w:eastAsia="Times New Roman" w:cs="Times New Roman"/>
          <w:b/>
          <w:sz w:val="24"/>
        </w:rPr>
        <w:t>:</w:t>
      </w:r>
      <w:r>
        <w:rPr>
          <w:rFonts w:ascii="Times New Roman" w:hAnsi="Times New Roman" w:eastAsia="Times New Roman" w:cs="Times New Roman"/>
          <w:b w:val="0"/>
          <w:sz w:val="24"/>
        </w:rPr>
        <w:t xml:space="preserve">  The lien securing payment of the Note will be in the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first and superior deed of trust.]</w:t>
      </w:r>
    </w:p>
    <w:p>
      <w:pPr>
        <w:keepNext w:val="0"/>
        <w:spacing w:before="200" w:after="0" w:line="260" w:lineRule="exact"/>
        <w:ind w:left="1080" w:right="0" w:firstLine="0"/>
        <w:jc w:val="both"/>
      </w:pPr>
      <w:r>
        <w:rPr>
          <w:rFonts w:ascii="Times New Roman" w:hAnsi="Times New Roman" w:eastAsia="Times New Roman" w:cs="Times New Roman"/>
          <w:b w:val="0"/>
          <w:sz w:val="24"/>
        </w:rPr>
        <w:t>The Note will be payable in monthly installments of principal and interest in the amount of $[amount] each beginning thirty (30) days after the date of the Note and continuing on the same day of each succeeding month until [date], when the entire principal balance of the Note together with all accrued, unpaid interest thereon will be due and payable.</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Deed of Trust.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deed of trust (“</w:t>
      </w:r>
      <w:r>
        <w:rPr>
          <w:rFonts w:ascii="Times New Roman" w:hAnsi="Times New Roman" w:eastAsia="Times New Roman" w:cs="Times New Roman"/>
          <w:b w:val="0"/>
          <w:sz w:val="24"/>
        </w:rPr>
        <w:t>Deed of Trust</w:t>
      </w:r>
      <w:r>
        <w:rPr>
          <w:rFonts w:ascii="Times New Roman" w:hAnsi="Times New Roman" w:eastAsia="Times New Roman" w:cs="Times New Roman"/>
          <w:b w:val="0"/>
          <w:sz w:val="24"/>
        </w:rPr>
        <w:t>”) securing the Note will provide for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Due on Sale Clause.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all or any part of the Property is sold, transferred, or conveyed without the prior written consent of Payee, Payee may, at Payee’s sole option, declare the outstanding principal balance of the Note plus accrued interest immediately due and payable. Payee has no obligation to consent to any such sale or conveyance of the Property, and Payee is entitled to condition any consent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interest rate that will thereafter apply to the Note and any other change in the terms of the Note or Deed of Trust that Payee in Payee’s sole discretion deems appropriate.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lease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longer than three (3) years,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lease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to purchase,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for deed will be deemed robe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transfer, or conveyance of the Property for purposes of this provision. Any deed under threat or order of condemnation, any conveyance solely between Payor, and the passage of title by reason of death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Payor or by operation of law will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or conveyance of the Property.  The creation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subordinate lien without the consent of Payee will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or conveyance of the Property, but any subsequent sale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subordinate lien to which Payee has consented will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or conveyance of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Without Escrow.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Payor will furnish to Payee annually, before the taxes become delinquent; copies of tax receipts showing that all taxes on the Property have been paid.  Payor will furnish to Payee annually evidence of current paid-up insurance naming Payee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Cross-Default.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act or occurrence that would constitute default under the terms of any lien superior to the lien securing the Note will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under the Deed of Trust securing the Note.</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Recourse Provisions.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Payor will have full recourse liability for repayment of the principal and interest of the Note and the performance of covenants and agreements of Payor in the Deed of Trust.</w:t>
      </w:r>
    </w:p>
    <w:p>
      <w:pPr>
        <w:keepNext w:val="0"/>
        <w:spacing w:before="120" w:after="0" w:line="260" w:lineRule="exact"/>
        <w:ind w:left="360" w:right="0" w:firstLine="0"/>
        <w:jc w:val="left"/>
      </w:pPr>
      <w:r>
        <w:rPr>
          <w:rFonts w:ascii="Times New Roman" w:hAnsi="Times New Roman" w:eastAsia="Times New Roman" w:cs="Times New Roman"/>
          <w:b w:val="0"/>
          <w:sz w:val="24"/>
        </w:rPr>
        <w:t>Exhibit 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Reservation of Oil, Gas, and Mineral and Other Interests.</w:t>
      </w:r>
    </w:p>
    <w:p>
      <w:pPr>
        <w:keepNext w:val="0"/>
        <w:spacing w:before="200" w:after="0" w:line="260" w:lineRule="exact"/>
        <w:ind w:left="720" w:right="0" w:firstLine="0"/>
        <w:jc w:val="both"/>
      </w:pPr>
      <w:r>
        <w:rPr>
          <w:rFonts w:ascii="Times New Roman" w:hAnsi="Times New Roman" w:eastAsia="Times New Roman" w:cs="Times New Roman"/>
          <w:b w:val="0"/>
          <w:sz w:val="24"/>
        </w:rPr>
        <w:t>Seller reserves the following portion of the Property and the estates and rights appurtenant to the Property:</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Hydrocarbon Minerals or Royalties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[check, if appropriate]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undivided [fraction] of hydrocarbon minerals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[check, if appropriate]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undivided [fraction]  of grantor’s hydrocarbon minerals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[check, if appropriate]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undivided [fraction]  royalty in hydrocarbon minerals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[check, if appropriate]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undivided [fraction]  of royalty in hydrocarbon minerals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[check, if appropriate]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undivided [fraction]  of lease bonus apportioned to hydrocarbon minerals reserved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[check, if appropriate]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undivided [fraction]  of lease rentals apportioned to hydrocarbon minerals reserved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[check, if appropriate]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undivided [fraction]  of shut-in royalty apportioned to hydrocarbon minerals</w:t>
      </w:r>
    </w:p>
    <w:p>
      <w:pPr>
        <w:keepNext w:val="0"/>
        <w:spacing w:before="200" w:after="0" w:line="260" w:lineRule="exact"/>
        <w:ind w:left="1440" w:right="0" w:firstLine="0"/>
        <w:jc w:val="both"/>
      </w:pPr>
      <w:r>
        <w:rPr>
          <w:rFonts w:ascii="Times New Roman" w:hAnsi="Times New Roman" w:eastAsia="Times New Roman" w:cs="Times New Roman"/>
          <w:b w:val="0"/>
          <w:sz w:val="24"/>
        </w:rPr>
        <w:t>[check, if appropriate] The same reservations shall apply to Salt Water, CO2, and other inert gases, in and under the surface.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Near Surface Mineral Royalty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[check, if appropriate]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undivided [fraction] royalty in the following minerals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[check, if appropriate]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undivided [fraction] of grantor’s royalty in the following minerals</w:t>
      </w:r>
    </w:p>
    <w:p>
      <w:pPr>
        <w:keepNext w:val="0"/>
        <w:spacing w:before="200" w:after="0" w:line="260" w:lineRule="exact"/>
        <w:ind w:left="1440" w:right="0" w:firstLine="0"/>
        <w:jc w:val="both"/>
      </w:pPr>
      <w:r>
        <w:rPr>
          <w:rFonts w:ascii="Times New Roman" w:hAnsi="Times New Roman" w:eastAsia="Times New Roman" w:cs="Times New Roman"/>
          <w:b w:val="0"/>
          <w:sz w:val="24"/>
        </w:rPr>
        <w:t>[check, if appropriate] gravel</w:t>
      </w:r>
    </w:p>
    <w:p>
      <w:pPr>
        <w:keepNext w:val="0"/>
        <w:spacing w:before="200" w:after="0" w:line="260" w:lineRule="exact"/>
        <w:ind w:left="1440" w:right="0" w:firstLine="0"/>
        <w:jc w:val="both"/>
      </w:pPr>
      <w:r>
        <w:rPr>
          <w:rFonts w:ascii="Times New Roman" w:hAnsi="Times New Roman" w:eastAsia="Times New Roman" w:cs="Times New Roman"/>
          <w:b w:val="0"/>
          <w:sz w:val="24"/>
        </w:rPr>
        <w:t>[check, if appropriate] limestone</w:t>
      </w:r>
    </w:p>
    <w:p>
      <w:pPr>
        <w:keepNext w:val="0"/>
        <w:spacing w:before="200" w:after="0" w:line="260" w:lineRule="exact"/>
        <w:ind w:left="1440" w:right="0" w:firstLine="0"/>
        <w:jc w:val="both"/>
      </w:pPr>
      <w:r>
        <w:rPr>
          <w:rFonts w:ascii="Times New Roman" w:hAnsi="Times New Roman" w:eastAsia="Times New Roman" w:cs="Times New Roman"/>
          <w:b w:val="0"/>
          <w:sz w:val="24"/>
        </w:rPr>
        <w:t>[check, if appropriate] caliche</w:t>
      </w:r>
    </w:p>
    <w:p>
      <w:pPr>
        <w:keepNext w:val="0"/>
        <w:spacing w:before="200" w:after="0" w:line="260" w:lineRule="exact"/>
        <w:ind w:left="1440" w:right="0" w:firstLine="0"/>
        <w:jc w:val="both"/>
      </w:pPr>
      <w:r>
        <w:rPr>
          <w:rFonts w:ascii="Times New Roman" w:hAnsi="Times New Roman" w:eastAsia="Times New Roman" w:cs="Times New Roman"/>
          <w:b w:val="0"/>
          <w:sz w:val="24"/>
        </w:rPr>
        <w:t>[check, if appropriate] coal or ignite</w:t>
      </w:r>
    </w:p>
    <w:p>
      <w:pPr>
        <w:keepNext w:val="0"/>
        <w:spacing w:before="200" w:after="0" w:line="260" w:lineRule="exact"/>
        <w:ind w:left="1440" w:right="0" w:firstLine="0"/>
        <w:jc w:val="both"/>
      </w:pPr>
      <w:r>
        <w:rPr>
          <w:rFonts w:ascii="Times New Roman" w:hAnsi="Times New Roman" w:eastAsia="Times New Roman" w:cs="Times New Roman"/>
          <w:b w:val="0"/>
          <w:sz w:val="24"/>
        </w:rPr>
        <w:t>[check, if appropriate] uranium</w:t>
      </w:r>
    </w:p>
    <w:p>
      <w:pPr>
        <w:keepNext w:val="0"/>
        <w:spacing w:before="200" w:after="0" w:line="260" w:lineRule="exact"/>
        <w:ind w:left="1440" w:right="0" w:firstLine="0"/>
        <w:jc w:val="both"/>
      </w:pPr>
      <w:r>
        <w:rPr>
          <w:rFonts w:ascii="Times New Roman" w:hAnsi="Times New Roman" w:eastAsia="Times New Roman" w:cs="Times New Roman"/>
          <w:b w:val="0"/>
          <w:sz w:val="24"/>
        </w:rPr>
        <w:t>[check, if appropriate] any material that requires destruction of the surface</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Water Rights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[check, if appropriate]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undivided [fraction] of water and water rights upon and over the Property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[check, if appropriate]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undivided [fraction] of grantor’s water and water rights upon and over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Wind Rights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[check, if appropriate]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undivided [fraction] of commercial wind and wind rights upon and over the Property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[check, if appropriate]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undivided [fraction] of grantor’s commercial wind and wind rights upon and over the Property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[check, if appropriate]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undivided [fraction] royalty in electricity produced and saved or sold from wind upon and over the Property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[check, if appropriate]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undivided [fraction] of royalty in electricity produced and saved or sold from wind upon and over the Property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[check, if appropriate]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undivided [fraction] of bonus paid for any lease or user agreement for production of electricity to be produced and saved or sold from wind upon and over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Solar Rights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[check, if appropriate]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undivided [fraction] of solar rights upon and over the Property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[check, if appropriate]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undivided [fraction] royalty in electricity produced and saved or sold from solar rays falling upon and over the Property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[check, if appropriate]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undivided of royalty in electricity produced and saved or sold from solar rays falling upon and over the Property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[check, if appropriate]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undivided [fraction] of bonus paid for any lease or user agreement for production of electricity to be produced and saved or sold from solar rays falling upon and over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Executive Rights</w:t>
      </w:r>
    </w:p>
    <w:p>
      <w:pPr>
        <w:keepNext w:val="0"/>
        <w:spacing w:before="200" w:after="0" w:line="260" w:lineRule="exact"/>
        <w:ind w:left="1440" w:right="0" w:firstLine="0"/>
        <w:jc w:val="both"/>
      </w:pPr>
      <w:r>
        <w:rPr>
          <w:rFonts w:ascii="Times New Roman" w:hAnsi="Times New Roman" w:eastAsia="Times New Roman" w:cs="Times New Roman"/>
          <w:b w:val="0"/>
          <w:sz w:val="24"/>
        </w:rPr>
        <w:t>[check, if appropriate] If not reserved or conveyed, the executive rights will follow the estate granted or reserved.</w:t>
      </w:r>
    </w:p>
    <w:p>
      <w:pPr>
        <w:keepNext w:val="0"/>
        <w:spacing w:before="200" w:after="0" w:line="260" w:lineRule="exact"/>
        <w:ind w:left="1440" w:right="0" w:firstLine="0"/>
        <w:jc w:val="both"/>
      </w:pPr>
      <w:r>
        <w:rPr>
          <w:rFonts w:ascii="Times New Roman" w:hAnsi="Times New Roman" w:eastAsia="Times New Roman" w:cs="Times New Roman"/>
          <w:b w:val="0"/>
          <w:sz w:val="24"/>
        </w:rPr>
        <w:t>[check, if appropriate] If the executive rights are to be severed, there must be express language severing the water rights from the executive rights in the estate being conveyed or reserved.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