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Satisfaction of Mechanic’s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PRAECIPE FOR SATISFACTION OF MECHANIC'S LIEN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Prothonotary: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Please enter satisfaction of the mechanic’s lien claim in the above-captioned action, upon payment of your costs only.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[filing 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filing attorney or claimant, if pro se]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