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Schedule 14D-9 Solicitation/Recommendation Statement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Item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Subject Company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customary company and stock information disclosure under this section is typically consistent with the requirements under the Schedule. Although not specifically stated in the Schedule’s requirements, it should be noted that it is customary to make reference to any preferred stock purchase rights attached to the relevant securities that have become attached due to the adoption by the target company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poison pill.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the inclusion of such reference is contained in </w:t>
      </w:r>
      <w:r>
        <w:rPr>
          <w:rFonts w:ascii="Times New Roman" w:hAnsi="Times New Roman" w:eastAsia="Times New Roman" w:cs="Times New Roman"/>
          <w:b w:val="0"/>
          <w:sz w:val="24"/>
        </w:rPr>
        <w:t xml:space="preserve">Item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of the Schedule 14D-9 filed on February 22, 2010, by Airgas, Inc.</w:t>
      </w:r>
    </w:p>
    <w:p>
      <w:pPr>
        <w:keepNext w:val="0"/>
        <w:spacing w:before="120" w:after="0" w:line="260" w:lineRule="exact"/>
        <w:ind w:left="1080" w:right="0" w:firstLine="0"/>
        <w:jc w:val="left"/>
      </w:pPr>
      <w:r>
        <w:rPr>
          <w:rFonts w:ascii="Times New Roman" w:hAnsi="Times New Roman" w:eastAsia="Times New Roman" w:cs="Times New Roman"/>
          <w:b/>
          <w:sz w:val="24"/>
        </w:rPr>
        <w:t>Securities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title of the class of equity securities to which this Statement relates is Airgas’ Common Stock, par value $0.01 per share, </w:t>
      </w:r>
      <w:r>
        <w:rPr>
          <w:rFonts w:ascii="Times New Roman" w:hAnsi="Times New Roman" w:eastAsia="Times New Roman" w:cs="Times New Roman"/>
          <w:b w:val="0"/>
          <w:sz w:val="24"/>
        </w:rPr>
        <w:t>including the associated rights to purchase shares of Series C Junior Participating Preferred Stock (“Rights,” and together with the Airgas Common Stock, the “Airgas Common Shares”), issued pursuant to the Rights Agreement, dated as of May 8, 2007, between Airgas and The Bank of New York, as Rights Agent (the “Rights Agreement”)</w:t>
      </w:r>
      <w:r>
        <w:rPr>
          <w:rFonts w:ascii="Times New Roman" w:hAnsi="Times New Roman" w:eastAsia="Times New Roman" w:cs="Times New Roman"/>
          <w:b w:val="0"/>
          <w:sz w:val="24"/>
        </w:rPr>
        <w:t>. As of February 3, 2010, there were 82,729,623 Airgas Common Shares outstanding.</w:t>
      </w:r>
    </w:p>
    <w:p>
      <w:pPr>
        <w:keepNext w:val="0"/>
        <w:spacing w:before="120" w:after="0" w:line="260" w:lineRule="exact"/>
        <w:ind w:left="360" w:right="0" w:firstLine="0"/>
        <w:jc w:val="left"/>
      </w:pPr>
      <w:r>
        <w:rPr>
          <w:rFonts w:ascii="Times New Roman" w:hAnsi="Times New Roman" w:eastAsia="Times New Roman" w:cs="Times New Roman"/>
          <w:b w:val="0"/>
          <w:sz w:val="24"/>
        </w:rPr>
        <w:t>Item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Identity and Background of Filing Person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While the form only requires the target to identify (i) the tender offer and the class of securities to which the offer relates and (ii) the name of the offeror and its address, it is customary to provide more fulsome disclosure, including the stated intent of the acquirer with respect to the transaction and any other governance changes that acquirer intends to seek as stated in its tender offer under Section 14(d)(1) of the Securities Exchange Act of 1934, as amended. Most takeover offers are subject to numerous conditions, and target companies typically point out that the conditions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acquirer’s hostile offer are numerous and that the acquirer has provided itself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avenues to terminate its offer. This type of disclosure effectively shows the target’s shareholders that the offer, despite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price, is by no means certain and may fail under any number of circumstances. To the extent that the satisfaction of any of the numerous conditions to the offer is in the sole discretion of the acquirer, target companies typically make it clear that certain conditions are solely within the discretion of the acquirer. This is done to make sure that target shareholders understand that the acquirer,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instances, is in control of the transaction even if the target makes every attempt to satisfy its obligations under the proposed transaction. Note that none of this customary disclosure is technically required by the Schedule.</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these customary, but not required, disclosures from the Airgas 14d-9 are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Air Products has stated that the purpose of the Offer is to acquire control of, and the entire equity interest in, Airgas. Air Products has indicated that it intends, as soon as practicable after the consummation of the Offer, to seek to consummate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of Airgas and AP Sub (or one of its or Air Products’ subsidiaries) (the “Second-Step Merger”). Air Products has also stated that it intends to nominate, and solicit proxies for the election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slate of nominees for election at Airgas’ 2010 annual meeting of stockholders (the “Airgas Annual Meeting”). In addition, whether or not Air Products proposes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other business combination with Airgas and whether or not its nominees are elected at the Airgas Annual Meeting, the Schedule TO states that Air Products intends, as soon as practicable after consummation of the Offer, to seek maximum representation on the Board of Directors of Airgas (the “Airgas Board”) and, promptly after the consummation of the Offer, to request that some or all of the current members of the Airgas Board resign and that Air Products’ designees be elected to fill the vacancies so created.</w:t>
      </w:r>
    </w:p>
    <w:p>
      <w:pPr>
        <w:keepNext w:val="0"/>
        <w:spacing w:before="200" w:after="0" w:line="260" w:lineRule="exact"/>
        <w:ind w:left="1080" w:right="0" w:firstLine="0"/>
        <w:jc w:val="both"/>
      </w:pPr>
      <w:r>
        <w:rPr>
          <w:rFonts w:ascii="Times New Roman" w:hAnsi="Times New Roman" w:eastAsia="Times New Roman" w:cs="Times New Roman"/>
          <w:b w:val="0"/>
          <w:sz w:val="24"/>
        </w:rPr>
        <w:t>The Offer is subject to numerous conditions, which include the following, among others: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The “Minimum Tender Condition” – there being validly tendered and not withdrawn before the expiration of the Offer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Airgas Common Shares that, together with the shares then owned by Air Products and its subsidiaries, represents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total number of Airgas Common Shares outstanding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diluted basis,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 “Rights Condition” – the Airgas Board redeeming the Rights or Air Products being satisfied, in its sole discretion, that the Rights have been invalidated or are otherwise inapplicable to the Offer and the Second-Step Merger,</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 “Section 203 Condition” – the Airgas Board having approved the Offer and the Second-Step Merger under Section 203 of the Delaware General Corporation Law (“Section 203”) or Air Products’ being satisfied, in its sole discretion, that Section 203 is inapplicable to the Offer and the Second-Step Merger,</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 “Certificate Condition” – the Airgas Board having approved the Offer and the Second-Step Merger under Article 6 of Airgas’ Amended and Restated Certificate of Incorporation (the “Airgas Certificate”) or Air Products’ being satisfied, in its sole discretion, that Article 6 of the Airgas Certificate is inapplicable to the Offer and the Second-Step Merger,</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 “HSR Condition” – the waiting period under the Hart-Scott-Rodino Antitrust Improvements Act of 1976, as amended (the “HSR Act”), applicable to the purchase of shares under the Offer having expired or been terminated as described in the Schedule TO, and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 “Impairment Condition” – Airgas not having entered into or effectuated any agreement or transaction with any person or entity having the effect of impairing AP Sub’s or Air Products’ ability to acquire Airgas or otherwise diminishing the expected value to Air Products of the acquisition of Airgas.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The “Merger Agreement Condition” —[Parent of Offeror], the Offeror and [Subject Company] having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merger agreement with respect to the acquisition of [Subject Company] by [Parent of Offeror] providing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step merger pursuant to Section 251(h) of the DGCL, with [Subject Company] surviving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[Parent of Offeror], without the requirement for approval of any stockholder of [Subject Company], to be effected as soon as practicable following the consummation of the Offer;</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Air Products is not required to consummate the Offer and may terminate or amend the Offer if at any time any of the following conditions exist, which conditions may be asserted by Air Products or AP Sub in their sole discretion regardless of the circumstances giving rise to any such condition failing to be satisfied: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there is threatened, instituted or pending any action or proceeding by any person before any court or governmental authority or agency challenging or seeking to restrain or prohibit the making of the Offer, seeking to obtain material damages in connection with the Offer, seeking to restrain or prohibit the exercise of Air Products’ full rights of ownership of Air Products’ or Airgas’ business, seeking to require divestiture by Air Products of any Airgas Common Shares, seeking any material diminution in the benefits expected to be derived by Air Products from the transactions contemplated by the Offer, adversely affecting the financing of the Offer or that otherwise, in Air Products’ reasonable judgment, has or may have material adverse significance with respect to either the value of Airgas or any of its subsidiaries or affiliates or the value of the Airgas Common Shares to Air Products (the “No Lawsuits Condition”),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any action is taken, or any statute, rule, regulation, interpretation, judgment, injunction, order or decree is proposed, enacted, enforced, promulgated, amended, issued or deemed applicable to Air Products, AP Sub or any of their subsidiaries or affiliates, the Offer, the acceptance for payment of or payment for Airgas Common Shares, or any merger or other business combination involving Airgas, by any court, government or agency (other than the application of the waiting period of the HSR Act to the Offer or to any such merger or other business combination), that, in Air Products’ reasonable judgment, does or may, directly or indirectly, result in any of the consequences referred to in the bullet point immediately above (the “No Diminution of Benefits Condition”),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there occurs any decline in either the Dow Jones Industrial Average, the Standard and Poor’s Index of 500 Industrial Companies or the NASDAQ-100 Index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15%, measured from the close of business on February 4, 2010 (the “Market Index Condition”),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any change occurs or is threatened (or any development occurs or is threatened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change) in the business, assets, liabilities, financial condition, capitalization, operations, results of operations or prospects of Airgas or any of its affiliates that, in Air Products’ reasonable judgment, is or may be materially adverse to Airgas or any of its affiliates, or Air Products becomes aware of any facts that, in its reasonable judgment, have or may have material adverse significance with respect to either the value of Airgas or any of its affiliates or the value of the Airgas Common Shares to Air Products,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there occurs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change in the general political, market, economic or financial conditions in the United States or abroad that, in Air Products’ reasonable judgment, could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business, assets, liabilities, financial condition, capitalization, operations, results of operations or prospects of Airgas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(b) any material adverse change (or development or threatened development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prospective material adverse change) in United States dollars or any other currency exchange rates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suspension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limitation on, the markets therefor, (c) any limitation (whether or not mandatory) by any governmental authority or agency on, or any other event that, in Air Products’ reasonable judgment, may adversely affect the extension of credit by banks or other financial institutions, (d) any general suspension of trading in, or limitation on prices for, securities on any national securities exchange or in the over-the-counter market, (e) the declaration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banking moratorium or any suspension of payments in respect of banks in the United States, (f) the commencement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war, armed hostilities or other international or national calamity directly or indirectly involving the United States or any attack on, outbreak or act of terrorism involving the United States, or (g) in the case of any of the foregoing existing as of the close of business on February 4, 2010,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acceleration or worsening thereof (together with the condition in the bullet point immediately above this bullet point, the “No Material Adverse Effect Condition”),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any other person publicly proposes or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or exchange offer for some or all of the Airgas Common Shares or enters into any agreement or makes any proposal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or exchange offer, merger, consolidation or other business combination with Airgas, or has acquired or proposes to acquire more than 5% of any class or series of capital stock of Airgas, or any person that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13D or 13G with the SEC prior to February 4, 2010 acquires or proposes to acquire beneficial ownership of additional Airgas Common Shares constituting 1% or more of any such class or series, or any person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Notification and Report Form under the HSR Act or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announcement reflecting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 to acquire Airgas or any assets or securities of Airgas (the “Stockholder Ownership Condition”),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Airgas or any of its subsidiaries has split, combined or otherwise changed, or authorized or proposed the split, combination or other change of, the Airgas Common Shares or its capitalization, acquired or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the number of outstanding Airgas Common Shares, issued or sold any Airgas Common Shares, declared or paid any dividends, or altered any material term of any outstanding security or issued or sold any debt security,</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Airgas has authorized or recommended or announced its intent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respect to or effected any merger or business combination, acquisition or disposition of assets or relinquishment of any material contract or other rights not in the ordinary course of business, or enters into any agreement or arrangement with any person that, in Air Products’ reasonable judgment, has or may have material adverse significance with respect to either the value of Airgas or any of its subsidiaries or the value of the Airgas Common Shares to Air Products,</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Airgas has adopted or amended any employment, severance, change of control, retention or other similar agreement other than in the ordinary course of business, or adopted or amended any such agreements or plans so as to provide for increased benefits to officers, directors, employees or consultants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in connection with the Offer,</w:t>
      </w:r>
    </w:p>
    <w:p>
      <w:pPr>
        <w:keepNext w:val="0"/>
        <w:spacing w:before="200" w:after="0" w:line="260" w:lineRule="exact"/>
        <w:ind w:left="1440" w:right="0" w:firstLine="0"/>
        <w:jc w:val="both"/>
      </w:pPr>
      <w:r>
        <w:rPr>
          <w:rFonts w:ascii="Times New Roman" w:hAnsi="Times New Roman" w:eastAsia="Times New Roman" w:cs="Times New Roman"/>
          <w:b w:val="0"/>
          <w:sz w:val="24"/>
        </w:rPr>
        <w:t>•</w:t>
        <w:tab/>
        <w:t>Airgas has amended or proposed any amendment to the Airgas Certificate or bylaws (the conditions in this bullet point and the immediately preceding three bullet points referred to together as the “No Material Change Condition”),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Air Products becomes aware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that any material contractual right of Airgas has been impaired or otherwise adversely affected or that any material amount of indebtedness of Airgas has been accelerated or has otherwise become due or become subject to acceleration prior to its stated due date in connection with the Offer or the consummation by Air Products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combination with Airgas, or (b) of any covenant, term or condition in any instrument or agreement of Airgas that, in Air Products’ reasonable judgment, has or may have material adverse significance with respect to either the value of Airgas or any of its affiliates or the value of the Airgas Common Shares to Air Products or any of its affiliates (including any event of default that may ensue in connection with the Offer, the acceptance for payment of or payment for some or all of the Airgas Common Shares by Air Products or the consummation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combination between Air Products and Airgas) (the “No Adverse Effect on Contracts Condition”),</w:t>
      </w:r>
    </w:p>
    <w:p>
      <w:pPr>
        <w:keepNext w:val="0"/>
        <w:spacing w:before="200" w:after="0" w:line="260" w:lineRule="exact"/>
        <w:ind w:left="1440" w:right="0" w:firstLine="0"/>
        <w:jc w:val="both"/>
      </w:pPr>
      <w:r>
        <w:rPr>
          <w:rFonts w:ascii="Times New Roman" w:hAnsi="Times New Roman" w:eastAsia="Times New Roman" w:cs="Times New Roman"/>
          <w:b w:val="0"/>
          <w:sz w:val="24"/>
        </w:rPr>
        <w:t>•</w:t>
        <w:tab/>
        <w:t xml:space="preserve">Air Products or any of its affiliates enters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agreement or announces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principle with Airgas providing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other similar business combination with Airgas or the purchase of securities or assets of Airgas, or Air Products and Airgas reach any other agreement or understanding pursuant to which it is agreed that the Offer will be terminated,</w:t>
      </w:r>
    </w:p>
    <w:p>
      <w:pPr>
        <w:keepNext w:val="0"/>
        <w:spacing w:before="200" w:after="0" w:line="260" w:lineRule="exact"/>
        <w:ind w:left="1440" w:right="0" w:firstLine="0"/>
        <w:jc w:val="both"/>
      </w:pPr>
      <w:r>
        <w:rPr>
          <w:rFonts w:ascii="Times New Roman" w:hAnsi="Times New Roman" w:eastAsia="Times New Roman" w:cs="Times New Roman"/>
          <w:b w:val="0"/>
          <w:sz w:val="24"/>
        </w:rPr>
        <w:t>•</w:t>
        <w:tab/>
        <w:t>Airgas or any of its subsidiaries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granted to any person proposing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other business combination with or involving Airgas or any of its subsidiaries or the purchase of securities or assets of Airgas or any of its subsidiaries any type of option, warrant or right which, in Air Products’ reasonable judgment,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“lock-up” device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acquire or receive any Airgas Common Shares or other securities, assets or business of Airgas or any of its subsidiaries) or (b) paid or agreed to pay any cash or other consideration to any party in connection with or in any way related to any such business combination or purchase or</w:t>
      </w:r>
    </w:p>
    <w:p>
      <w:pPr>
        <w:keepNext w:val="0"/>
        <w:spacing w:before="200" w:after="0" w:line="260" w:lineRule="exact"/>
        <w:ind w:left="1440" w:right="0" w:firstLine="0"/>
        <w:jc w:val="both"/>
      </w:pPr>
      <w:r>
        <w:rPr>
          <w:rFonts w:ascii="Times New Roman" w:hAnsi="Times New Roman" w:eastAsia="Times New Roman" w:cs="Times New Roman"/>
          <w:b w:val="0"/>
          <w:sz w:val="24"/>
        </w:rPr>
        <w:t>•</w:t>
        <w:tab/>
        <w:t>any required approval, permit, authorization, extension, action or non-action, waiver or consent of any governmental authority or agency shall not have been obtained on terms satisfactory to Air Products and AP Sub or any waiting period or extension thereof imposed by any government or governmental authority or agency with respect to the Offer shall not have expired.</w:t>
      </w:r>
    </w:p>
    <w:p>
      <w:pPr>
        <w:keepNext w:val="0"/>
        <w:spacing w:before="120" w:after="0" w:line="260" w:lineRule="exact"/>
        <w:ind w:left="360" w:right="0" w:firstLine="0"/>
        <w:jc w:val="left"/>
      </w:pPr>
      <w:r>
        <w:rPr>
          <w:rFonts w:ascii="Times New Roman" w:hAnsi="Times New Roman" w:eastAsia="Times New Roman" w:cs="Times New Roman"/>
          <w:b w:val="0"/>
          <w:sz w:val="24"/>
        </w:rPr>
        <w:t>Item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Past Contacts, Transactions, Negotiations and Agreements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Schedule generally requires disclosure of all past or current business and other relationships (including shareholder relationships) between the acquirer and the target. It also requires disclosure of arrangements and relationships between officers, directors and affiliates of the target company and the target company. However, it also provides that if such relationships and arrangements between the target and its officers, directors and affiliates have been disclosed in other filings (as they usually are), the prior disclosure can be filed as exhibits to the 14d-9 and need not be described again in the Schedule 14d-9. The following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such disclosure:</w:t>
      </w:r>
    </w:p>
    <w:p>
      <w:pPr>
        <w:keepNext w:val="0"/>
        <w:spacing w:before="200" w:after="0" w:line="260" w:lineRule="exact"/>
        <w:ind w:left="1080" w:right="0" w:firstLine="0"/>
        <w:jc w:val="both"/>
      </w:pPr>
      <w:r>
        <w:rPr>
          <w:rFonts w:ascii="Times New Roman" w:hAnsi="Times New Roman" w:eastAsia="Times New Roman" w:cs="Times New Roman"/>
          <w:b w:val="0"/>
          <w:sz w:val="24"/>
        </w:rPr>
        <w:t>Except as described in this Statement or in the excerpts from the [Subject Company] Definitive Proxy Statement on Schedule 14A, dated and filed with the SEC on [date] (the “[Year] Proxy Statement”), relating to [Subject Company’s] [Year] Annual Meeting of Stockholders, which excerpts are filed as Exhibit [_____] to this Statement and incorporated herein by reference, as of the date of this Statement, there are no material agreements, arrangements or understandings, nor any actual or potential conflicts of interest, between [Subject Company] or any of its affiliates, on the one hand, and (i) [Subject Company] or any of its executive officers, directors or affiliates, or (ii) [Parent of Offeror], Offeror or any of their respective executive officers, directors or affiliates, on the other hand. Exhibit [_____] is incorporated herein by reference and includes the following sections from the [Year] Proxy Statement: [“Security Ownership of Certain Beneficial Owners and Management,” “Executive Compensation” (including “Compensation Discussion and Analysis” and “Compensation Committee Report”), “Summary Compensation Table,” “Grants of Plan-Based Awards During Fiscal Year [Preceding Year],” “Outstanding Equity Awards at [Preceding Year] Fiscal Year-End,” “Option Exercises and Stock Vested During Fiscal Year [Preceding Year],” “Nonqualified Deferred Compensation for Fiscal Year [Preceding Year],” “Potential Payments Upon Termination or Change in Control,” “Director Compensation,” “Equity Compensation Plan Information,” and “Certain Relationships and Related Transactions.”]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Some filers may also include disclosure regarding any relationship between the subject company or its affiliates and the offeror.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such disclosure is as follows:</w:t>
      </w:r>
    </w:p>
    <w:p>
      <w:pPr>
        <w:keepNext w:val="0"/>
        <w:spacing w:before="200" w:after="0" w:line="260" w:lineRule="exact"/>
        <w:ind w:left="1080" w:right="0" w:firstLine="0"/>
        <w:jc w:val="both"/>
      </w:pPr>
      <w:r>
        <w:rPr>
          <w:rFonts w:ascii="Times New Roman" w:hAnsi="Times New Roman" w:eastAsia="Times New Roman" w:cs="Times New Roman"/>
          <w:b/>
          <w:sz w:val="24"/>
        </w:rPr>
        <w:t>Relationship with [Offeror]</w:t>
      </w:r>
    </w:p>
    <w:p>
      <w:pPr>
        <w:keepNext w:val="0"/>
        <w:spacing w:before="200" w:after="0" w:line="260" w:lineRule="exact"/>
        <w:ind w:left="1080" w:right="0" w:firstLine="0"/>
        <w:jc w:val="both"/>
      </w:pPr>
      <w:r>
        <w:rPr>
          <w:rFonts w:ascii="Times New Roman" w:hAnsi="Times New Roman" w:eastAsia="Times New Roman" w:cs="Times New Roman"/>
          <w:b w:val="0"/>
          <w:sz w:val="24"/>
        </w:rPr>
        <w:t>According to the Schedule TO, as of [date], [Offeror] and its subsidiaries beneficially owned [_____] shares of Target, representing less than one percent of the outstanding shares of Target.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Notwithstanding the permission to forego much of the disclosure if the exhibits referenced above are attached, targets typically provide some level of detailed disclosure of the compensation arrangements of directors and officers, with particular attention on all of the compensation and cash payments due to officers and directors if the acquirer’s proposed transaction is consummated. Detailed charts that break down compensation and consideration per officer and director are typically provided. Notwithstanding the technical requirements of the form and the ability to forego much of the disclosure in light of the attachment of prior filings as exhibits,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the customary detailed disclosure is set forth below from the recent 14d-9 of Gentiva.</w:t>
      </w:r>
    </w:p>
    <w:p>
      <w:pPr>
        <w:keepNext w:val="0"/>
        <w:spacing w:before="120" w:after="0" w:line="260" w:lineRule="exact"/>
        <w:ind w:left="1080" w:right="0" w:firstLine="0"/>
        <w:jc w:val="left"/>
      </w:pPr>
      <w:r>
        <w:rPr>
          <w:rFonts w:ascii="Times New Roman" w:hAnsi="Times New Roman" w:eastAsia="Times New Roman" w:cs="Times New Roman"/>
          <w:b/>
          <w:sz w:val="24"/>
        </w:rPr>
        <w:t>Consideration Payable Pursuant to the Offer and the Proposed Merger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Gentiva directors and executive officers were to tender any Gentiva Common Shares they own pursuant to the Offer, they would receive the same cash consideration on the same terms and conditions as the other Gentiva stockholders. As of June 30, 2014, the Gentiva directors and executive officers owned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4,904,285 Gentiva Common Shares. If the Gentiva directors and executive officers were to tender all of such Gentiva Common Shares for purchase pursuant to the Offer and those Gentiva Common Shares were accepted for purchase by Kindred, the Gentiva directors and executive officers would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approximately $71,112,132.50 in cash.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 of June 30, 2014, the Gentiva directors and executive officers held options to purchase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of 3,075,866 Gentiva Common Shares, with exercise prices ranging from $5.16 to $28.17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weighted average exercise price of $13.41 per share, 1,698,684 of which were vested and exercisable as of that date. Any Gentiva stock options held by the Gentiva directors and executive officers were issued pursuant to the 2004 Equity Incentive Plan (amended and restated as of March 16, 2011), as amended by Amendments No. 1 and 2 thereto, filed as Exhibits (e)(2), (e)(3) and (e)(4), respectively, to this Statement, and incorporated herein by reference (the “Plan”).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Offer as currently contemplated, if consummated,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of Gentiva for purposes of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3,426,114 outstanding stock options, stock appreciation rights and any other awards under the Plan, granted prior to September 12, 2013 (but excluding stock options and restricted stock granted to Named Executive Officers in 2013 prior to September 12, 2013), will immediately become vested and exercisable, any restrictions on such restricted stock awards, performance share units or performance cash awards will immediately lapse and all awards would remain exercisable for the remainder of their terms, even if the award recipient were not to terminate employment. However, 1,888,200 outstanding stock options, stock appreciation rights and any other awards under the Plan granted on or after September 12, 2013 or granted to Named Executive Officers in 2013 prior to September 12, 2013 will become vested and exercisable and any restrictions thereupon will lapse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only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grantee’s service by Gentiva without cause or for good reason within two years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all awards under the Plan become subject to the terms of any agreement effecting the change in control.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Offeror reduces the number of Gentiva Common Shares subject to the Offer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equal to 14.9% of the outstanding Gentiva Common Shares, consummation of the Offer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for purposes of the Plan.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following table summarizes, with respect to (1) each Gentiva director, (2) each Gentiva Named Executive Officer, and (3) all executive officers (other than the Named Executive Officers) (the “Other Executive Officers”)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the aggregate, positive difference in value between $14.50 and the per share exercise prices (the “Spread Value”) of the options to purchase Gentiva Common Shares held by such directors and executive officers as of June 30, 2014:</w:t>
      </w:r>
    </w:p>
    <w:p>
      <w:pPr>
        <w:keepNext w:val="0"/>
        <w:spacing w:before="200" w:after="0" w:line="260" w:lineRule="exact"/>
        <w:ind w:left="1440" w:right="0" w:firstLine="0"/>
        <w:jc w:val="both"/>
      </w:pPr>
      <w:r>
        <w:rPr>
          <w:rFonts w:ascii="Times New Roman" w:hAnsi="Times New Roman" w:eastAsia="Times New Roman" w:cs="Times New Roman"/>
          <w:b w:val="0"/>
          <w:sz w:val="24"/>
        </w:rPr>
        <w:t>(1) Messrs. Strange and Windley serve as both Named Executive Officers and as Directors</w:t>
      </w:r>
    </w:p>
    <w:p>
      <w:pPr>
        <w:keepNext w:val="0"/>
        <w:spacing w:before="120" w:after="0" w:line="260" w:lineRule="exact"/>
        <w:ind w:left="1080" w:right="0" w:firstLine="0"/>
        <w:jc w:val="left"/>
      </w:pPr>
      <w:r>
        <w:rPr>
          <w:rFonts w:ascii="Times New Roman" w:hAnsi="Times New Roman" w:eastAsia="Times New Roman" w:cs="Times New Roman"/>
          <w:b/>
          <w:sz w:val="24"/>
        </w:rPr>
        <w:t>Potential Severance and Change in Control Benefits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Gentiva has entered into change in control agreements (the “CIC Agreements”) with Messrs. Tony Strange, Eric R. Slusser, John N. Camperlengo, David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Causby, Jeff Shaner and Rodney D. Windley and Dr. Charlotte Weaver. The terms of the CIC Agreements provide salary and benefit continuation if (1)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of Gentiva and (2) Gentiva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terminates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executive’s employment without cause or the executive terminates employment for good reason, in each case within two years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or Gentiva terminates the executive without cause within one year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if the termination arises in connection with the change in control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Good reason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diminution of position,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decrease in base compensation,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any employment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change in location. The Offer as currently contemplated, if consummated,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for purposes of each of the CIC Agreements. If the Offeror reduces the number of Gentiva Common Shares subject to the Offer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equal to 14.9% of the outstanding Gentiva Common Shares, consummation of the Offer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for purposes of the CIC Agreements.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Under the CIC Agreements,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would be entitled to:</w:t>
      </w:r>
    </w:p>
    <w:p>
      <w:pPr>
        <w:keepNext w:val="0"/>
        <w:spacing w:before="200" w:after="0" w:line="260" w:lineRule="exact"/>
        <w:ind w:left="180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lump-sum payment equal to two times the sum of (1) the executive’s annual base salary at the time of termination, plus (2) the executive’s target annual bonus for the year of termination or average annual bonus for the three years before the year of termination, whichever is higher;</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payment of base salary through the date of termination of employment, together with payment for unused vacation,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share of the target annual bonus for the year of termination without regard to whether the performance goals are attained;</w:t>
      </w:r>
    </w:p>
    <w:p>
      <w:pPr>
        <w:keepNext w:val="0"/>
        <w:spacing w:before="200" w:after="0" w:line="260" w:lineRule="exact"/>
        <w:ind w:left="1800" w:right="0" w:firstLine="0"/>
        <w:jc w:val="both"/>
      </w:pPr>
      <w:r>
        <w:rPr>
          <w:rFonts w:ascii="Times New Roman" w:hAnsi="Times New Roman" w:eastAsia="Times New Roman" w:cs="Times New Roman"/>
          <w:b w:val="0"/>
          <w:sz w:val="24"/>
        </w:rPr>
        <w:t>•</w:t>
        <w:tab/>
        <w:t>continuation of health and welfare benefits for up to two years;</w:t>
      </w:r>
    </w:p>
    <w:p>
      <w:pPr>
        <w:keepNext w:val="0"/>
        <w:spacing w:before="200" w:after="0" w:line="260" w:lineRule="exact"/>
        <w:ind w:left="1800" w:right="0" w:firstLine="0"/>
        <w:jc w:val="both"/>
      </w:pPr>
      <w:r>
        <w:rPr>
          <w:rFonts w:ascii="Times New Roman" w:hAnsi="Times New Roman" w:eastAsia="Times New Roman" w:cs="Times New Roman"/>
          <w:b w:val="0"/>
          <w:sz w:val="24"/>
        </w:rPr>
        <w:t>•</w:t>
        <w:tab/>
        <w:t>full vesting of the executive’s options, other equity-based awards and performance cash awards, and accelerated vesting of any accrued retirement benefits; and</w:t>
      </w:r>
    </w:p>
    <w:p>
      <w:pPr>
        <w:keepNext w:val="0"/>
        <w:spacing w:before="200" w:after="0" w:line="260" w:lineRule="exact"/>
        <w:ind w:left="1800" w:right="0" w:firstLine="0"/>
        <w:jc w:val="both"/>
      </w:pPr>
      <w:r>
        <w:rPr>
          <w:rFonts w:ascii="Times New Roman" w:hAnsi="Times New Roman" w:eastAsia="Times New Roman" w:cs="Times New Roman"/>
          <w:b w:val="0"/>
          <w:sz w:val="24"/>
        </w:rPr>
        <w:t>•</w:t>
        <w:tab/>
        <w:t xml:space="preserve">additional cash payments for any equity or incentive awards that are forfeited in connection with certain terminations of employment within the one year period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occurs.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cash and non-cash amounts payable under the CIC Agreements will be reduced to the maximum amount permitted without the imposition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excise tax under the Internal Revenue Code but only if the resulting net after-tax amount for the individual is greater than the net after-tax amount without any such reduction. The above description of the CIC Agreements is qualified in its entirety by reference to the Form of Change in Control Agreement filed as Exhibit (e)(5) to this Statement and incorporated herein by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Gentiva has in place severance agreements (the “Severance Agreements”) with Messrs. Strange, Slusser, Camperlengo, Causby, Shaner and Windley and Dr. Weaver. These severance agreements provide severance benefits if Gentiva or any successor terminates the officer other than for “cause,” or if, subject to certain notice and cure provisions, the officer terminates his employment within 60 days after Gentiva or any successor reduces the officer’s base salary,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salary reduction that applies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salaried employees. The severance benefits generally consist of: continued base salary for 12 months;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cash payment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one times the executive’s target annual bonus for the year of termination;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share of the annual bonus for the year of termination (subject to attainment of performance goals); and continued health benefits for up to 12 months. No benefits are payable under the severance agreement if benefits are payable under the officer’s CIC Agreement. Pursuant to the severance agreements, the officers agreed to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following termination. The above description of the Severance Agreements is qualified in its entirety by reference to the Form of Severance Agreement filed as Exhibit (e)(6) to this Statement and incorporated herein by reference.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following table presents, with respect to (1) each Gentiva Named Executive Officer and (2) with respect to all Other Executive Officers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the amounts of severance benefits payable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Termination, estimated as of June 30, 2014.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quantification of the Spread Value of vested and unvested options to purchase Gentiva Common Shares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$14.50 per share value, see the table above under the heading “Consideration Payable Pursuant to the Offer and the Proposed Merger.”</w:t>
      </w:r>
    </w:p>
    <w:p>
      <w:pPr>
        <w:keepNext w:val="0"/>
        <w:spacing w:before="120" w:after="0" w:line="260" w:lineRule="exact"/>
        <w:ind w:left="1080" w:right="0" w:firstLine="0"/>
        <w:jc w:val="left"/>
      </w:pPr>
      <w:r>
        <w:rPr>
          <w:rFonts w:ascii="Times New Roman" w:hAnsi="Times New Roman" w:eastAsia="Times New Roman" w:cs="Times New Roman"/>
          <w:b/>
          <w:sz w:val="24"/>
        </w:rPr>
        <w:t>Directors’ Compensation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Under the Gentiva’s director compensation policy, only directors who are not employees of Gentiva receive compensation for their services as directors. Non-employee directors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retainer of $50,000 payable in cash, plus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of $2,000 for each Board or committee meeting attended (or $750 if attendance is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held by telephone), and $750 for participating in each business update conducted by management. Any non-employee director who serves as chairperson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the Board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$10,000 annual retainer for acting as chairperson, except that the chairperson of the Audit Committee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$20,000 annual retainer. The Lead Director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$20,000 annual retainer.</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non-employee directors’ compensation is in the form of deferred stock units awarded pursuant to the Stock &amp; Deferred Compensation Plan for Non-Employee Directors (amended and restated as of December 31, 2007), as amended by Amendments No. 1, 2 and 3 thereto, filed as Exhibits (e)(7), (e)(8), (e)(9) and (e)(10), respectively, to this Statement, and incorporated herein by reference (the “Non-Employee Directors Plan”). Pursuant to the Non-Employee Directors Plan, each non-employee director also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retainer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deferred stock unit award valued at $120,000, which is credited quarterly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bookkeeping account for the non-employee director. The number of deferred stock units credited to each director’s account quarterly is calculated by dividing $30,000 by the average closing price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Gentiva Common Share on NASDAQ for the ten trading days preceding the quarterly calculation date. Upon termination of service on the Gentiva Board, the director is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Gentiva Common Shares equal to the number of deferred stock units then credited to the director’s account. The Gentiva Common Shares underlying the deferred stock units cannot be sold by the directors until termination of their directorship.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director who is also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does not receive any additional compensation for serving on Gentiva’s Board. However, Gentiva reimburses all directors, regardless of whether or not they are Gentiva employees, for out-of-pocket expenses incurred in connection with attending Board and committee meetings.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to the above compensation disclosure,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of the arrangements between officers, directors and the target company also customarily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target’s indemnification arrangements with its officers and directors.</w:t>
      </w:r>
    </w:p>
    <w:p>
      <w:pPr>
        <w:keepNext w:val="0"/>
        <w:spacing w:before="120" w:after="0" w:line="260" w:lineRule="exact"/>
        <w:ind w:left="360" w:right="0" w:firstLine="0"/>
        <w:jc w:val="left"/>
      </w:pPr>
      <w:r>
        <w:rPr>
          <w:rFonts w:ascii="Times New Roman" w:hAnsi="Times New Roman" w:eastAsia="Times New Roman" w:cs="Times New Roman"/>
          <w:b w:val="0"/>
          <w:sz w:val="24"/>
        </w:rPr>
        <w:t>Item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Solicitation or Recommendation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this item, there is typically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gap between the technical requirements of the Schedule and customary disclosures in Schedule 14-9s. The Schedule generally asks for disclosure on the nature of the recommendation of target to its shareholders regarding whether it supports the offer, as well as the target’s justification for its recommendation (whether positive or negative) and any known intent of the target’s officers, directors or affiliates to tender shares owned by any of them in the acquirer’s offer. If the filing person is the target and is not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the target must disclose whether it is expressing no opinion and is remaining neutral toward the tender offer or is unable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respect to the tender offer. While this disclosure is always included, target companies, in describing the nature of the offer, customarily provide detailed disclosure on the background of any contacts and/or discussions between target and acquirer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transaction. This background disclosure is generally provided as means of painting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picture of the hostile or friendly nature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bidder as well as the good faith attempts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target’s board to respond to and/or rebuff inadequate offers. The text of any letters between acquirer and the target leading up to the acquirer’s offer are almost always included verbatim.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background section, taken from the Airgas 14d-9, is set forth below. None of the disclosure provided below is technically required by the Schedule.</w:t>
      </w:r>
    </w:p>
    <w:p>
      <w:pPr>
        <w:keepNext w:val="0"/>
        <w:spacing w:before="120" w:after="0" w:line="260" w:lineRule="exact"/>
        <w:ind w:left="1080" w:right="0" w:firstLine="0"/>
        <w:jc w:val="left"/>
      </w:pPr>
      <w:r>
        <w:rPr>
          <w:rFonts w:ascii="Times New Roman" w:hAnsi="Times New Roman" w:eastAsia="Times New Roman" w:cs="Times New Roman"/>
          <w:b/>
          <w:sz w:val="24"/>
        </w:rPr>
        <w:t>Background of the Offer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Airgas was founded by Chairman and Chief Executive Officer Peter McCausland in 1982, and became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publicly traded company in 1986. Through approximately 400 acquisitions and internal growth, including the acquisition from Air Products of its U.S. packaged gas business in 2002 in connection with Air Products’ exit from that business, Airgas has become the largest U.S. distributor of industrial, medical, and specialty gases and related hardgoods, such as welding supplies, and has built the largest national distribution network in the packaged gas industry. Airgas has also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leading U.S. distributor of safety products, the largest U.S. producer of nitrous oxide and dry ice, the largest liquid carbon dioxide producer in the Southeast,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leading distributor of process chemicals, refrigerants and ammonia products. Airgas’ more than 14,000 employees work in more than 1,100 locations including branches, cylinder fill plants, air separation plants, production facilities, specialty gas laboratories and regional distribution centers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diversified customer base.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Airgas has delivered superior value to its stockholders since its initial public offering in 1986,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cumulative total stockholder return (defined as stock price appreciation plus dividends reinvested) of 4,201%1 since that time. This performance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compound annual growth rate of total stockholder return of 18% and places Airgas ahead of 94% of companies in the S&amp;P 500 index. We believe that this consistently high growth has been achieved because of our entrepreneurial, service-oriented culture and decentralized management structure. The following charts demonstrate Airgas’ proven track record.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mid-October 2009, John McGlade, the Chairman, President and Chief Executive Officer of Air Products, contacted Mr. McCausland and requested to meet without identifying the topic of the meeting. In response to Mr. McGlade’s request, Mr. McCausland met with Mr. McGlade at Airgas’ headquarters on October 15, at which time Mr. McGlade made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unsolicited oral proposal to Mr. McCausland to acquire Airgas for $60 per share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all-stock basis. Mr. McCausland replied that, while his personal view was that the proposal was inadequate and that it would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poor time for Airgas to enter into any merger transaction, any decision regarding the proposal would rest with the Airgas Board. Mr. McGlade stated twice during the meeting that Air Products would not proceed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basis.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Following the meeting with Mr. McGlade, Mr. McCausland telephoned W. Thacher Brown, Airgas’ presiding director at that time, informed him of Mr. McGlade’s unsolicited verbal proposal and discussed whether to convene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Airgas Board in advance of the Airgas Board meeting that had previously been scheduled for November 5 - 7. Mr. McCausland and Mr. Brown decided to discuss the unsolicited proposal with the Airgas Board at the previously scheduled upcoming meeting.</w:t>
      </w:r>
    </w:p>
    <w:p>
      <w:pPr>
        <w:keepNext w:val="0"/>
        <w:spacing w:before="200" w:after="0" w:line="260" w:lineRule="exact"/>
        <w:ind w:left="1440" w:right="0" w:firstLine="0"/>
        <w:jc w:val="both"/>
      </w:pPr>
      <w:r>
        <w:rPr>
          <w:rFonts w:ascii="Times New Roman" w:hAnsi="Times New Roman" w:eastAsia="Times New Roman" w:cs="Times New Roman"/>
          <w:b w:val="0"/>
          <w:sz w:val="24"/>
        </w:rPr>
        <w:t>On October 31, 2009, Mr. McGlade telephoned Mr. McCausland to reiterate his proposal and his expectation that it would be presented to, and considered by, the Airgas Board.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At the Airgas Board’s meeting held from November 5 through November 7, 2009, the Airgas Board considered and discussed Airgas’ strategic direction and reviewed Airgas’ five-year strategic and financial plan, which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of Airgas’ regular planning process that began in July and was completed in October. In addition, during the meeting, the Airgas Board discussed Air Products’ unsolicited proposal. After careful consideration of presentations by management and advice from its legal advisors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of discussions with the Company’s financial advisors, the Airgas Board unanimously concluded that Air Products’ unsolicited proposal grossly undervalued Airgas and, accordingly, that the Airgas Board had no interest in proceeding to discuss further the proposal with Air Products. Mr. McCausland telephoned Mr. McGlade and informed him of the Airgas Board’s determination.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November 20, 2009, Mr. McGlade telephoned Mr. McCausland and informed Mr. McCausland that he would be sending Mr. McCausland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Mr. McCausland replied that Mr. McGlade stated at their meeting on October 15th that Air Products would not proceed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hostile basis, to which Mr. McGlade responded that he was under pressure from the Air Products’ board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November 20, 2009, Mr. McGlade 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to Mr. McCausland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unsolicited proposal to acquire Airgas for $60 per share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all-stock basis, and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 Airgas and its advisors as soon as possible to move expeditiously toward consummating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The full text of this letter is set forth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)(7) and is incorporated by reference herein.</w:t>
      </w:r>
    </w:p>
    <w:p>
      <w:pPr>
        <w:keepNext w:val="0"/>
        <w:spacing w:before="200" w:after="0" w:line="260" w:lineRule="exact"/>
        <w:ind w:left="1440" w:right="0" w:firstLine="0"/>
        <w:jc w:val="both"/>
      </w:pPr>
      <w:r>
        <w:rPr>
          <w:rFonts w:ascii="Times New Roman" w:hAnsi="Times New Roman" w:eastAsia="Times New Roman" w:cs="Times New Roman"/>
          <w:b w:val="0"/>
          <w:sz w:val="24"/>
        </w:rPr>
        <w:t>On November 25, 2009, Mr. McCausland wrote to Mr. McGlade indicating that the Airgas Board would consider Air Products’ stock-for-stock proposal at its upcoming meeting in early December.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December 7, 2009, the Airgas Board met to consider Air Products’ unsolicited stock-for-stock proposal. After careful consideration of presentations by management, advice from its legal advisors and financial information and analyses provided to the Company by its financial advisors, the Airgas Board unanimously concluded that Air Products’ unsolicited stock-for-stock proposal grossly undervalued Airgas, was opportunistic and offered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unattractive currency. Accordingly, the Airgas Board unanimously rejected the proposal and concluded that no purpose would be served by meeting with Air Products to discuss further the $60 per share proposal made by Air Products.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December 8, 2009 letter to Mr. McGlade, Mr. McCausland confirmed that the Airgas Board had considered Air Products’ unsolicited stock-for-stock proposal and had determined that the proposal was not in the best interest of Airgas’ stockholders and should not be pursued, on the grounds that it grossly undervalues Airgas, proposed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unattractive currency, ignored regulatory issues raised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the companies and because Airgas’ Board questioned Air Products’ ability to manage Airgas’ business, given Air Products’ decision to exit that very line of business just seven years earlier. The letter also informed Air Products that Airgas objected to the law firm Cravath, Swaine &amp; Moore LLP representing Air Products in connection with any possible acquisition of Airgas, and that Airgas had no intention of waiving or ignoring the conflict created thereby. The text of the letter is set forth below:</w:t>
      </w:r>
    </w:p>
    <w:p>
      <w:pPr>
        <w:keepNext w:val="0"/>
        <w:spacing w:before="200" w:after="0" w:line="260" w:lineRule="exact"/>
        <w:ind w:left="1800" w:right="0" w:firstLine="0"/>
        <w:jc w:val="both"/>
      </w:pPr>
      <w:r>
        <w:rPr>
          <w:rFonts w:ascii="Times New Roman" w:hAnsi="Times New Roman" w:eastAsia="Times New Roman" w:cs="Times New Roman"/>
          <w:b w:val="0"/>
          <w:sz w:val="24"/>
        </w:rPr>
        <w:t>Dear John:</w:t>
      </w:r>
    </w:p>
    <w:p>
      <w:pPr>
        <w:keepNext w:val="0"/>
        <w:spacing w:before="200" w:after="0" w:line="260" w:lineRule="exact"/>
        <w:ind w:left="1800" w:right="0" w:firstLine="0"/>
        <w:jc w:val="both"/>
      </w:pPr>
      <w:r>
        <w:rPr>
          <w:rFonts w:ascii="Times New Roman" w:hAnsi="Times New Roman" w:eastAsia="Times New Roman" w:cs="Times New Roman"/>
          <w:b w:val="0"/>
          <w:sz w:val="24"/>
        </w:rPr>
        <w:t>The Board of Directors of Airgas has considered your letter of November 20, 2009.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As you know, the Airgas Board carefully considered the same proposal several weeks ago and concluded that the proposed stock-for-stock acquisition of Airgas by Air Products is not in the best interests of our shareholders and should not be pursued. We have again carefully reviewed your proposal and have consulted with our legal and financial advisors. At the meeting called to review your November 20 letter, the Board again unanimously authorized me to advise you that it believes that Air Products is grossly undervaluing Airgas and offering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currency that is not attractive. The Board has no interest in pursuing Air Products’ unsolicited proposal.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We can certainly understand why Air Products would find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of Airgas to be appealing to Air Products and its shareholders. Over the last five and ten year periods, Airgas’ stock has consistently and significantly outperformed Air Products’ stock, having risen 83% over the last five years (vs. 44% for Air Products’ stock) and 387% over the last ten years (vs. 166% for Air Products’ stock). Airgas continues to effectively execute its business plan and is operating well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difficult environment. We have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actions that position us to perform even better as the economy improves. Airgas’ management and its Board are extremely enthusiastic about our company’s prospects and are confident of achieving shareholder returns well in excess of what can be derived from Air Products’ proposal.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We also have concerns about Air Products’ ability to effectively manage our business,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that your company exited just seven years ago. The consistently high growth that we have been able to achieve over many years owes much to our entrepreneurial, service-oriented culture and decentralized management structure. The organizational and management structure at Air Products conflicts with ours and would likely reduce rather than create value.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Your letter ignores any mention of the regulatory issues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our two companies would raise. These issues would slow the process considerably. In this regard, we note that Air Products failed to obtain U.S. antitrust clearance in its last attempt to acquire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 American industrial gas competitor.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While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factor in our decision, it is important to mention that the advisors representing your company have serious conflicts of interest that we have no intention of waiving or ignoring. Cravath, Swaine &amp; Moore has served as Airgas’ counsel for financing matters continuously for the past eight years. They have advised us as recently as October (presumably while working with your company on its approach to us) on matters relating to our outstanding indebtedness and our future financing plans. Your legal and financial advisors, from the services they have rendered very recently to Airgas, well understand that the next several months are important ones for our company with respect to its financing plans. It is disturbing that the key advisors on Airgas’ financing team are now representing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hostile transaction.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Board of Directors of Airgas reiterates the response which I conveyed to you several weeks ago. We are not interested in pursuing your company’s proposal and do not believe that any purpose would be served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200" w:after="0" w:line="260" w:lineRule="exact"/>
        <w:ind w:left="1800" w:right="0" w:firstLine="0"/>
        <w:jc w:val="both"/>
      </w:pPr>
      <w:r>
        <w:rPr>
          <w:rFonts w:ascii="Times New Roman" w:hAnsi="Times New Roman" w:eastAsia="Times New Roman" w:cs="Times New Roman"/>
          <w:b w:val="0"/>
          <w:sz w:val="24"/>
        </w:rPr>
        <w:t>Very truly yours,</w:t>
      </w:r>
    </w:p>
    <w:p>
      <w:pPr>
        <w:keepNext w:val="0"/>
        <w:spacing w:before="200" w:after="0" w:line="260" w:lineRule="exact"/>
        <w:ind w:left="1800" w:right="0" w:firstLine="0"/>
        <w:jc w:val="both"/>
      </w:pPr>
      <w:r>
        <w:rPr>
          <w:rFonts w:ascii="Times New Roman" w:hAnsi="Times New Roman" w:eastAsia="Times New Roman" w:cs="Times New Roman"/>
          <w:b w:val="0"/>
          <w:sz w:val="24"/>
        </w:rPr>
        <w:t>/s/ Peter McCausland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December 17, 2009, Mr. McGlade 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to Mr. McCausland revising Air Products’ prior $60 per share stock-for-stock proposal, proposing to acquire Airgas for $62 per share with consideration including up to 50% cash. Mr. McGlade stated in the letter that “the timing for this combination is excellent,” citing the fact that “the economy is just beginning to emerge from recession” and Air Products’ belief that waiting “may make the combination less attractive in the future.” Mr. McGlade also stated that Air Products and its advisors formally requested to meet with Airgas and its advisors “as soon as possible” and that the companies “move expeditiously to consummate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Mr. McGlade objected to Airgas’ characterization of Air Products’ performance and other aspects of Mr. McCausland’s December 8th letter. The full text of Mr. McGlade’s letter is set forth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)(8) and is incorporated by reference herein.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December 21, the Airgas Board met to discuss Air Products’ revised $62 unsolicited proposal and reviewed information provided by management, advice from its legal advisors and financial information and analyses provided to the Company by its financial advisors. On January 4, 2010, the Airgas Board met again to resume consideration of the revised $62 proposal as well as Air Products’ request to meet as soon as possible to move expeditiously to consummate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After careful consideration of presentations by management, advice from its legal advisors and financial information and analyses provided to the Company by its financial advisors, the Airgas Board unanimously concluded that Air Products’ revised $62 unsolicited proposal, at least half of which was to be paid in Air Products stock, grossly undervalued Airgas and its prospects for continued growth and shareholder value creation. Accordingly, the Airgas Board concluded that no purpose would be served by meeting with Air Products to explore further its unsolicited $62 per share proposal. Mr. McCausland sent the following letter to Mr. McGlade informing him of the determination of the Airgas Board:</w:t>
      </w:r>
    </w:p>
    <w:p>
      <w:pPr>
        <w:keepNext w:val="0"/>
        <w:spacing w:before="200" w:after="0" w:line="260" w:lineRule="exact"/>
        <w:ind w:left="1800" w:right="0" w:firstLine="0"/>
        <w:jc w:val="both"/>
      </w:pPr>
      <w:r>
        <w:rPr>
          <w:rFonts w:ascii="Times New Roman" w:hAnsi="Times New Roman" w:eastAsia="Times New Roman" w:cs="Times New Roman"/>
          <w:b w:val="0"/>
          <w:sz w:val="24"/>
        </w:rPr>
        <w:t>Dear John:</w:t>
      </w:r>
    </w:p>
    <w:p>
      <w:pPr>
        <w:keepNext w:val="0"/>
        <w:spacing w:before="200" w:after="0" w:line="260" w:lineRule="exact"/>
        <w:ind w:left="1800" w:right="0" w:firstLine="0"/>
        <w:jc w:val="both"/>
      </w:pPr>
      <w:r>
        <w:rPr>
          <w:rFonts w:ascii="Times New Roman" w:hAnsi="Times New Roman" w:eastAsia="Times New Roman" w:cs="Times New Roman"/>
          <w:b w:val="0"/>
          <w:sz w:val="24"/>
        </w:rPr>
        <w:t>Our Board of Directors met and thoroughly considered the proposal set forth in your December 17 letter. It is their unanimous view that the Air Products proposal grossly undervalues Airgas. Therefore, the Board is not interested in pursuing your company’s proposal and continues to believe that there is no reason to meet.</w:t>
      </w:r>
    </w:p>
    <w:p>
      <w:pPr>
        <w:keepNext w:val="0"/>
        <w:spacing w:before="200" w:after="0" w:line="260" w:lineRule="exact"/>
        <w:ind w:left="1800" w:right="0" w:firstLine="0"/>
        <w:jc w:val="both"/>
      </w:pPr>
      <w:r>
        <w:rPr>
          <w:rFonts w:ascii="Times New Roman" w:hAnsi="Times New Roman" w:eastAsia="Times New Roman" w:cs="Times New Roman"/>
          <w:b w:val="0"/>
          <w:sz w:val="24"/>
        </w:rPr>
        <w:t>Airgas’ management has consistently created long-term shareholder value, as measured by stock price appreciation and total shareholder returns (stock price appreciation plus dividends).</w:t>
      </w:r>
    </w:p>
    <w:p>
      <w:pPr>
        <w:keepNext w:val="0"/>
        <w:spacing w:before="200" w:after="0" w:line="260" w:lineRule="exact"/>
        <w:ind w:left="2160" w:right="0" w:firstLine="0"/>
        <w:jc w:val="both"/>
      </w:pPr>
      <w:r>
        <w:rPr>
          <w:rFonts w:ascii="Times New Roman" w:hAnsi="Times New Roman" w:eastAsia="Times New Roman" w:cs="Times New Roman"/>
          <w:b w:val="0"/>
          <w:sz w:val="24"/>
        </w:rPr>
        <w:t>•</w:t>
        <w:tab/>
        <w:t>In every cumulative annual period since 2000, measured from the first of each calendar year to Dec 31, 2009, Airgas’ stock price has consistently outperformed Air Products’ with the exception of 2009.</w:t>
      </w:r>
    </w:p>
    <w:p>
      <w:pPr>
        <w:keepNext w:val="0"/>
        <w:spacing w:before="200" w:after="0" w:line="260" w:lineRule="exact"/>
        <w:ind w:left="2160" w:right="0" w:firstLine="0"/>
        <w:jc w:val="both"/>
      </w:pPr>
      <w:r>
        <w:rPr>
          <w:rFonts w:ascii="Times New Roman" w:hAnsi="Times New Roman" w:eastAsia="Times New Roman" w:cs="Times New Roman"/>
          <w:b w:val="0"/>
          <w:sz w:val="24"/>
        </w:rPr>
        <w:t>•</w:t>
        <w:tab/>
        <w:t>Airgas’ stock price appreciated 80% over the last five years and 415% over the last ten years, compared to just 40% and 145% for Air Products’ shares over the same periods.</w:t>
      </w:r>
    </w:p>
    <w:p>
      <w:pPr>
        <w:keepNext w:val="0"/>
        <w:spacing w:before="200" w:after="0" w:line="260" w:lineRule="exact"/>
        <w:ind w:left="2160" w:right="0" w:firstLine="0"/>
        <w:jc w:val="both"/>
      </w:pPr>
      <w:r>
        <w:rPr>
          <w:rFonts w:ascii="Times New Roman" w:hAnsi="Times New Roman" w:eastAsia="Times New Roman" w:cs="Times New Roman"/>
          <w:b w:val="0"/>
          <w:sz w:val="24"/>
        </w:rPr>
        <w:t>•</w:t>
        <w:tab/>
        <w:t>Airgas has achieved total cumulative shareholder returns of 22%, 89%, and 434% over the last three, five and ten years respectively, versus Air Products’ 23%, 56% and 197%. From the time of its initial public offering in December 1986, Airgas’ total shareholder return has exceeded 4,400% as compared to approximately 1,300% for Air Products over the same period.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Airgas’ entrepreneurial culture and customer-centric business model produced operating performance superior to that of Air Products through the last cycle, in expanding and contracting economic conditions. From CY2001 through CY2008, Airgas generated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24% compound annual growth rate in operating income from continuing operations, compared to Air Products’ 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Airgas’ associates, with the support of our Board of Directors and shareholders, have built the most valuable independent industrial gas company in the world. We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performance record, and strong prospects for organic and acquisition growth in the coming years. Air Products’ unsolicited approach is simply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opportunistic attempt to buy Airgas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bargain price, exploiting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anomaly in the historic comparative equity market performance of our two companies, just as the economy begins its recovery. Recent performance alone is not indicative of what our respective companies are capable of achieving. Under the terms of Air Products’ proposal, our shareholders would sacrifice real value and opportunity, and exchange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dynamic growth stock for one that has significantly underperformed Airgas stock over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extended period of time.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While we agree that the benefits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writing campaign between our two companies have been exhausted, we strongly disagree with many of the assertions in your December 17th letter. In particular, we believe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our two companies could destroy rather than create value; that you underestimate the seriousness of your advisors’ conflicts; and that your characterization of my one conversation with you is inaccurate and misleading.</w:t>
      </w:r>
    </w:p>
    <w:p>
      <w:pPr>
        <w:keepNext w:val="0"/>
        <w:spacing w:before="200" w:after="0" w:line="260" w:lineRule="exact"/>
        <w:ind w:left="1800" w:right="0" w:firstLine="0"/>
        <w:jc w:val="both"/>
      </w:pPr>
      <w:r>
        <w:rPr>
          <w:rFonts w:ascii="Times New Roman" w:hAnsi="Times New Roman" w:eastAsia="Times New Roman" w:cs="Times New Roman"/>
          <w:b w:val="0"/>
          <w:sz w:val="24"/>
        </w:rPr>
        <w:t>Air Products’ proposal grossly undervalues Airgas and its prospects for continued growth and shareholder value creation. Accordingly, our Board of Directors is not interested in pursuing your company’s proposal.</w:t>
      </w:r>
    </w:p>
    <w:p>
      <w:pPr>
        <w:keepNext w:val="0"/>
        <w:spacing w:before="200" w:after="0" w:line="260" w:lineRule="exact"/>
        <w:ind w:left="1800" w:right="0" w:firstLine="0"/>
        <w:jc w:val="both"/>
      </w:pPr>
      <w:r>
        <w:rPr>
          <w:rFonts w:ascii="Times New Roman" w:hAnsi="Times New Roman" w:eastAsia="Times New Roman" w:cs="Times New Roman"/>
          <w:b w:val="0"/>
          <w:sz w:val="24"/>
        </w:rPr>
        <w:t>Sincerely yours,</w:t>
      </w:r>
    </w:p>
    <w:p>
      <w:pPr>
        <w:keepNext w:val="0"/>
        <w:spacing w:before="200" w:after="0" w:line="260" w:lineRule="exact"/>
        <w:ind w:left="1800" w:right="0" w:firstLine="0"/>
        <w:jc w:val="both"/>
      </w:pPr>
      <w:r>
        <w:rPr>
          <w:rFonts w:ascii="Times New Roman" w:hAnsi="Times New Roman" w:eastAsia="Times New Roman" w:cs="Times New Roman"/>
          <w:b w:val="0"/>
          <w:sz w:val="24"/>
        </w:rPr>
        <w:t>/s/ Peter McCausland</w:t>
      </w:r>
    </w:p>
    <w:p>
      <w:pPr>
        <w:keepNext w:val="0"/>
        <w:spacing w:before="200" w:after="0" w:line="260" w:lineRule="exact"/>
        <w:ind w:left="1800" w:right="0" w:firstLine="0"/>
        <w:jc w:val="both"/>
      </w:pPr>
      <w:r>
        <w:rPr>
          <w:rFonts w:ascii="Times New Roman" w:hAnsi="Times New Roman" w:eastAsia="Times New Roman" w:cs="Times New Roman"/>
          <w:b w:val="0"/>
          <w:sz w:val="24"/>
        </w:rPr>
        <w:t>Peter McCausland</w:t>
      </w:r>
    </w:p>
    <w:p>
      <w:pPr>
        <w:keepNext w:val="0"/>
        <w:spacing w:before="200" w:after="0" w:line="260" w:lineRule="exact"/>
        <w:ind w:left="1800" w:right="0" w:firstLine="0"/>
        <w:jc w:val="both"/>
      </w:pPr>
      <w:r>
        <w:rPr>
          <w:rFonts w:ascii="Times New Roman" w:hAnsi="Times New Roman" w:eastAsia="Times New Roman" w:cs="Times New Roman"/>
          <w:b w:val="0"/>
          <w:sz w:val="24"/>
        </w:rPr>
        <w:t>Chairman and CEO</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February 1, 2010, Air Products’ legal advisor from Cravath telephoned Airgas’ legal advisor, and stated that it was important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occur between Air Products and Airgas within days rather than weeks, and that it would be best for Air Products’ stockholders, Airgas’ stockholders—as well as “for Peter”—for the parties to reach agreement rapidly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negotiated sale of Airgas to Air Products. Airgas’ legal advisor stated that they would consult with Airgas regarding the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that any decision whether to meet rested with Airgas.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Later on February 1, representatives of J.P. Morgan, Air Products’ financial advisor, contacted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Airgas financial advisor, and also requested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within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J.P. Morgan also requested that the Airgas Board be involved in the decision as to whether to meet with Air Products. During the call, representatives of J.P. Morgan also said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negotiation would be better for Airgas, its management and Air Products. Airgas’ financial advisor replied that they would promptly relay Air Products’ urgent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to Airgas.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each of their respective conversations, both the Airgas legal advisor and the Airgas financial advisor noted that, in light of the Airgas Board’s views concerning Air Products’ prior unsolicited proposals, the Airgas directors may well conclude that the last price proposed by Air Products would not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sensible basis to hold any meeting to discuss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possible transaction.</w:t>
      </w:r>
    </w:p>
    <w:p>
      <w:pPr>
        <w:keepNext w:val="0"/>
        <w:spacing w:before="200" w:after="0" w:line="260" w:lineRule="exact"/>
        <w:ind w:left="1440" w:right="0" w:firstLine="0"/>
        <w:jc w:val="both"/>
      </w:pPr>
      <w:r>
        <w:rPr>
          <w:rFonts w:ascii="Times New Roman" w:hAnsi="Times New Roman" w:eastAsia="Times New Roman" w:cs="Times New Roman"/>
          <w:b w:val="0"/>
          <w:sz w:val="24"/>
        </w:rPr>
        <w:t>On February 2, 2010, Airgas’ financial advisors telephoned Air Products’ financial advisor to inform them that the Airgas Board would evaluate their request to meet at Airgas’ regularly scheduled Board meeting early in the week of February 8th.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Rather than waiting for the response requested from the Airgas Board, Mr. McGlade 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letter to Mr. McCausland on February 4, 2010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unsolicited proposal to acquire Airgas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reduced price of $60 per share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all-cash basis. The letter stated again that “the timing for this combination is ideal,” noting that the economy was beginning to emerge from recession, and stated that the proposal offered Airgas stockholders “immediate liquidity.” The letter also stated that Air Products had decided to inform Airgas’ stockholders of its proposal. The full text of this letter is set forth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)(9) and is incorporated by reference herein.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Also on February 4, Air Products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against Airgas and members of the Airgas Board in the Delaware Chancery Court, alleging breach of fiduciary duty by Airgas’ Board in rejecting Air Products’ unsolicited proposals and seeking declaratory and injunctive relief. Please see “Additional Information—Litigation Matters” for more information. Air Products’ complaint stated that Air Products owned 1,508,255 Airgas Common Shares, which Air Products later disclosed that it had acquired in open market purchases from January 20 through February 4 at average daily prices ranging from $43.77 to $49.25. On February 5, 2010, Air Products publicly disclosed its February 4 letter.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Airgas Board met on the morning of February 5, the fourth occasion on which its members discussed and considered the various unsolicited proposals of Air Products, to consider Air Products’ $60 per share public proposal and, among other matters, to discuss Air Products’ most recent letter. Also on February 5, Airgas commenced litigation against its long-time counsel, Cravath, Swaine &amp; Moore LLP, in the Court of Common Pleas of Philadelphia County, Pennsylvania, seeking damages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requiring Cravath to withdraw from its representation of Air Products in connection with its attempted takeover of Airgas based on Cravath’s prior representation of Airgas. Please see “Additional Information—Litigation Matters” for more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held on February 8 and 9, the Airgas Board again discussed and considered Air Products’ unsolicited proposal, and after careful consideration of presentations by management and its financial advisors, and advice from its legal advisors, unanimously determined that the proposal grossly undervalued Airgas and its future prospects and was not in the best interests of Airgas stockholders. Accordingly, the Airgas Board unanimously rejected the proposal and concluded that no purpose would be served by proceeding to meet with Air Products to discuss the inadequate proposal. On February 9, Mr. McCausland sent the following letter to Mr. McGlade informing him of the Airgas Board’s determination:</w:t>
      </w:r>
    </w:p>
    <w:p>
      <w:pPr>
        <w:keepNext w:val="0"/>
        <w:spacing w:before="200" w:after="0" w:line="260" w:lineRule="exact"/>
        <w:ind w:left="1800" w:right="0" w:firstLine="0"/>
        <w:jc w:val="both"/>
      </w:pPr>
      <w:r>
        <w:rPr>
          <w:rFonts w:ascii="Times New Roman" w:hAnsi="Times New Roman" w:eastAsia="Times New Roman" w:cs="Times New Roman"/>
          <w:b w:val="0"/>
          <w:sz w:val="24"/>
        </w:rPr>
        <w:t>Dear John: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Board of Directors of Airgas has received your letter dated February 4, 2010 proposing that Air Products acquire all of the outstanding shares of Airgas for $60 per share in cash.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held yesterday and today, the Board of Directors carefully reviewed your company’s latest proposal with the assistance of its financial advisors, Goldman, Sachs &amp; Co. and Bank of America Merrill Lynch, and its legal counsel. After thorough consideration, it is the unanimous view of the Airgas Board of Directors that your unsolicited proposal very significantly undervalues Airgas and its future prospects. Accordingly, the Airgas Board unanimously rejects Air Products’ $60 per share proposal. Moreover, as we informed you in our letter dated January 4, 2010, your company’s prior $62 per share proposal also grossly undervalues Airgas.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Airgas is the largest and most valuable packaged gas business in the world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unrivaled platform. Airgas continues to effectively execute its business plan and is operating well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difficult environment. We have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actions that position us to perform even better as the economy improves. Moreover, Airgas and its stockholders are poised to realize the significant benefits that will result from the substantial infrastructure investment and industry consolidation achieved by Airgas over the last decade. Our country is just beginning to emerge from the worst recession since the Great Depression and your undervalued proposal would deprive our stockholders of the greater value that they will receive simply with the passage of time.</w:t>
      </w:r>
    </w:p>
    <w:p>
      <w:pPr>
        <w:keepNext w:val="0"/>
        <w:spacing w:before="200" w:after="0" w:line="260" w:lineRule="exact"/>
        <w:ind w:left="1800" w:right="0" w:firstLine="0"/>
        <w:jc w:val="both"/>
      </w:pPr>
      <w:r>
        <w:rPr>
          <w:rFonts w:ascii="Times New Roman" w:hAnsi="Times New Roman" w:eastAsia="Times New Roman" w:cs="Times New Roman"/>
          <w:b w:val="0"/>
          <w:sz w:val="24"/>
        </w:rPr>
        <w:t>As you are undoubtedly aware, due to the nature of our customers and markets, historically our business has emerged from recession later, but with much greater upside, than yours. Airgas’ management and its Board are extremely enthusiastic about our company’s prospects and are confident of achieving stockholder returns well in excess of what can be derived from Air Products’ unsolicited and opportunistic proposal.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We note that in your presentation dated February 5th, you state that “Timing is excellent”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justification for pursuing Air Products’ unsolicited proposal at this time. We agree that the “timing is excellent” — for Air Products — but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terrible time for Airgas stockholders to sell their company. We can certainly understand why Air Products would find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opportunistic acquisition of Airgas to be appealing to Air Products and its stockholders. However, it makes no sense for the Airgas stockholders to transfer the future value of Airgas to Air Products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bargain basement price.</w:t>
      </w:r>
    </w:p>
    <w:p>
      <w:pPr>
        <w:keepNext w:val="0"/>
        <w:spacing w:before="200" w:after="0" w:line="260" w:lineRule="exact"/>
        <w:ind w:left="1800" w:right="0" w:firstLine="0"/>
        <w:jc w:val="both"/>
      </w:pPr>
      <w:r>
        <w:rPr>
          <w:rFonts w:ascii="Times New Roman" w:hAnsi="Times New Roman" w:eastAsia="Times New Roman" w:cs="Times New Roman"/>
          <w:b w:val="0"/>
          <w:sz w:val="24"/>
        </w:rPr>
        <w:t>Over the last five and ten year periods preceding the public disclosure of your company’s latest proposal, Airgas’ stock has consistently and significantly outperformed Air Products’ stock, having risen 75% over the last five years (vs. 25% for Air Products’ stock) and 471% over the last ten years (vs. 139% for Air Products’ stock). It is in light of this history that we consider your increasingly urgent demands to negotiate concerning Air Products’ various proposals, which in our Board’s unanimous view grossly undervalue our company and its prospects. If the nascent recovery continues and the growth which we anticipate — and are starting to see in our business — were to become reflected in our stock price, Air Products would no longer be able to claim that “timing is excellent.”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Airgas’ business differs significantly from Air Products and your packaged gas operations in Europe have considerably different characteristics than our packaged gas business in the United States. In contrast to your European business, our U.S. business operates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highly competitive marketplace which demands distribution of numerous products and services to provide value to our customers. Your company exited that business just eight years ago, selling it to us when it was in disarray. The consistently high growth that we have been able to achieve over many years owes much to our entrepreneurial, service-oriented culture and decentralized management structure. We are, at our core,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“people” business which has succeeded by effectively motivating our more than 14,000 associates. We believe, based upon our own extensive experiences with Air Products, that the acquisition you are proposing would reduce rather than enhance stockholder value.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We understand that market credibility is paramount and Airgas has, over time, performed significantly better than Air Products on almost any metric, often exceeding market expectations. But we believe that how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conducts its business is important too. You have chosen legal and financial advisors that have conflicts, even after we expressed our strong objections. That is wholly inappropriate and why we commenced litigation against your legal advisor. We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obligation to protect Airgas stockholders and this includes taking the necessary steps to protect our stockholders against grossly undervalued proposals. Our board, which collectively beneficially owns more than 10% of the outstanding common stock, is focused solely on the best interests of our stockholders.</w:t>
      </w:r>
    </w:p>
    <w:p>
      <w:pPr>
        <w:keepNext w:val="0"/>
        <w:spacing w:before="200" w:after="0" w:line="260" w:lineRule="exact"/>
        <w:ind w:left="1800" w:right="0" w:firstLine="0"/>
        <w:jc w:val="both"/>
      </w:pPr>
      <w:r>
        <w:rPr>
          <w:rFonts w:ascii="Times New Roman" w:hAnsi="Times New Roman" w:eastAsia="Times New Roman" w:cs="Times New Roman"/>
          <w:b w:val="0"/>
          <w:sz w:val="24"/>
        </w:rPr>
        <w:t>Our Board of Directors, our management team and our thousands of associates are dedicated to creating value for all of our stockholders and that is exactly what we will continue to do by executing on our strategic plan.</w:t>
      </w:r>
    </w:p>
    <w:p>
      <w:pPr>
        <w:keepNext w:val="0"/>
        <w:spacing w:before="200" w:after="0" w:line="260" w:lineRule="exact"/>
        <w:ind w:left="1800" w:right="0" w:firstLine="0"/>
        <w:jc w:val="both"/>
      </w:pPr>
      <w:r>
        <w:rPr>
          <w:rFonts w:ascii="Times New Roman" w:hAnsi="Times New Roman" w:eastAsia="Times New Roman" w:cs="Times New Roman"/>
          <w:b w:val="0"/>
          <w:sz w:val="24"/>
        </w:rPr>
        <w:t>Very truly yours,</w:t>
      </w:r>
    </w:p>
    <w:p>
      <w:pPr>
        <w:keepNext w:val="0"/>
        <w:spacing w:before="200" w:after="0" w:line="260" w:lineRule="exact"/>
        <w:ind w:left="1800" w:right="0" w:firstLine="0"/>
        <w:jc w:val="both"/>
      </w:pPr>
      <w:r>
        <w:rPr>
          <w:rFonts w:ascii="Times New Roman" w:hAnsi="Times New Roman" w:eastAsia="Times New Roman" w:cs="Times New Roman"/>
          <w:b w:val="0"/>
          <w:sz w:val="24"/>
        </w:rPr>
        <w:t>/s/ Peter McCausland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February 11, 2010, Air Products and AP Sub commenced the Offer at the same $60.00 price per share in cash as the proposal described in Air Products’ letter dated February 4. On the same day, Airgas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press release requesting that its stockholders take no action in response to the Offer and informing its stockholders that the Airgas Board, in consultation with its independent financial and legal advisors, intends to advise stockholders of its formal position regarding the Offer within ten business days by making available to stockholders and filing with the SEC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solicitation/recommendation statement on Schedule 14D-9.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On February 20, 2010, the Airgas Board met to review the terms of the Offer with the assistance of its financial advisors, Merrill Lynch, Pierce, Fenner &amp; Smith Incorporated (which we refer to as Bank of America Merrill Lynch) and Goldman, Sachs &amp; Co. (which we refer to as Goldman Sachs), and legal advisor, Wachtell, Lipton, Rosen &amp; Katz. During this meeting Bank of America Merrill Lynch and Goldman Sachs each rendered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opinion to the Airgas Board, subsequently confirmed in writing, that as of February 20, 2010 and based upon and subject to the factors and assumptions set forth in the written opinions, the consideration proposed to be paid to the holders of Airgas Common Shares (other than AP Sub and its affiliates) pursuant to the Offer was inadequate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point of view to such holders. At the meeting, the Airgas Board unanimously reconfirmed its prior determination that the Offer grossly undervalues Airgas and is not in the best interests of Airgas and its stockholders. Accordingly, the Airgas Board unanimously determined to recommend that the Airgas stockholders reject the Offer and not tender their Airgas Common Shares into the Offer. The full text of the respective written opinions of Bank of America Merrill Lynch and Goldman Sachs, each dated February 20, 2010, and each of which sets forth the assumptions made, procedures followed, matters considered and limitations on the review undertaken in connection with such opinion, are attached as Annexes B and C, respectively. Bank of America Merrill Lynch and Goldman Sachs provided their respective opinions for the information and assistance of the Airgas Board in connection with its consideration of the Offer. The opinions of Bank of America Merrill Lynch and Goldman Sachs are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as to whether or not any holder of Airgas Common Shares should tender such Airgas Common Shares in connection with the Offer or any other matter.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to the background disclosure above, the Schedule requires disclosure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target board’s reasons for recommending or not recommending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acquirer’s offer. Reasons for not recommending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target’s hostile offer generally fall into some or all of the following categories of reasons: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acquirer’s offer grossly undervalues the target,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timing of the acquirer’s offer is opportunistic (i.e. it is being made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when the target’s share price is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lower than usual level so that the acquirer can 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bargain relative to the target’s real, long-term value),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target has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from its financial advisor that the offer price is inadequate,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consummation of the offer is highly uncertain,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Consummation of the acquirer’s proposal would reduce, rather than enhance, shareholder value,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target is recommending that its shareholders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the reasons underlying such recommendation may include: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nature (or lack thereof) of interest from other parties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that the no other interested party had indicated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ability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proposal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value than the transaction proposed by this offeror.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consideration of strategic alternatives, board determines that no alternative was reasonably likely to create greater value for the Company’s shareholders than the offer.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fairness opinion from the target’s financial advisor(s).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Offer represents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to the current and historical trading price of the target’s shares.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offer consideration is payable in cash, which provides certainty of value and immediate liquidity to the Company’s shareholders while avoiding potential long-term business risk.</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likelihood of consummation of the transaction and the ability to consummate the transaction quickly (e.g., two-step tender offer).</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offer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unique opportunity and there was no assurance that there would be another opportunity for shareholders to receive as significant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for the shares as that contemplated by the offeror’s proposal.</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business reputation of the offeror.</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risks and uncertainties facing the target if the offer is not accepted and consummated.</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terms of the merger agreement (including the express ability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superior proposal).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Even if the target’s board ultimately recommends acceptance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it should nonetheless consider and indicate any uncertainties and risks and other potentially negative factors concerning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Such considerations include: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inability of shareholders to participate in and benefit from potential future earnings and growth;</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impact public announcement may have on target’s share price;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availability of appraisal rights to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consequences resulting from payment of offer consideration to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triggering of change of control and similar payments;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potential payment of termination fee if target accepts superior proposal.</w:t>
      </w:r>
    </w:p>
    <w:p>
      <w:pPr>
        <w:keepNext w:val="0"/>
        <w:spacing w:before="120" w:after="0" w:line="260" w:lineRule="exact"/>
        <w:ind w:left="360" w:right="0" w:firstLine="0"/>
        <w:jc w:val="left"/>
      </w:pPr>
      <w:r>
        <w:rPr>
          <w:rFonts w:ascii="Times New Roman" w:hAnsi="Times New Roman" w:eastAsia="Times New Roman" w:cs="Times New Roman"/>
          <w:b w:val="0"/>
          <w:sz w:val="24"/>
        </w:rPr>
        <w:t>Item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Person/Assets, Retained, Employed, Compensated or Used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Customary disclosure under this item is generally consistent with the requirements under the Schedule.</w:t>
      </w:r>
    </w:p>
    <w:p>
      <w:pPr>
        <w:keepNext w:val="0"/>
        <w:spacing w:before="120" w:after="0" w:line="260" w:lineRule="exact"/>
        <w:ind w:left="360" w:right="0" w:firstLine="0"/>
        <w:jc w:val="left"/>
      </w:pPr>
      <w:r>
        <w:rPr>
          <w:rFonts w:ascii="Times New Roman" w:hAnsi="Times New Roman" w:eastAsia="Times New Roman" w:cs="Times New Roman"/>
          <w:b w:val="0"/>
          <w:sz w:val="24"/>
        </w:rPr>
        <w:t>Item 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in Securities of the Subject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Customary disclosure under this item is generally consistent with the requirements under the Schedule.</w:t>
      </w:r>
    </w:p>
    <w:p>
      <w:pPr>
        <w:keepNext w:val="0"/>
        <w:spacing w:before="120" w:after="0" w:line="260" w:lineRule="exact"/>
        <w:ind w:left="360" w:right="0" w:firstLine="0"/>
        <w:jc w:val="left"/>
      </w:pPr>
      <w:r>
        <w:rPr>
          <w:rFonts w:ascii="Times New Roman" w:hAnsi="Times New Roman" w:eastAsia="Times New Roman" w:cs="Times New Roman"/>
          <w:b w:val="0"/>
          <w:sz w:val="24"/>
        </w:rPr>
        <w:t>Item 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of the Transaction and Plans or Proposals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Customary disclosure under this item is generally consistent with the requirements under the Schedule.</w:t>
      </w:r>
    </w:p>
    <w:p>
      <w:pPr>
        <w:keepNext w:val="0"/>
        <w:spacing w:before="120" w:after="0" w:line="260" w:lineRule="exact"/>
        <w:ind w:left="360" w:right="0" w:firstLine="0"/>
        <w:jc w:val="left"/>
      </w:pPr>
      <w:r>
        <w:rPr>
          <w:rFonts w:ascii="Times New Roman" w:hAnsi="Times New Roman" w:eastAsia="Times New Roman" w:cs="Times New Roman"/>
          <w:b w:val="0"/>
          <w:sz w:val="24"/>
        </w:rPr>
        <w:t>Item 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Customary disclosure under this item is generally consistent with the requirements under the Schedule.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While the schedule specifically requires disclosure on any relevant litigation as well as anti-trust and other regulatory requirements, it also broadly requires disclosure, without providing specificity, of other agreements and items material to the acquirer’s offer that have not been otherwise disclosed in the Schedule. Where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offeror may potentially designate certain persons to be appointed to the target’s board (other than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target’s shareholders),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information statement setting forth information about such designees will be included and incorporated by reference. Additionally,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target company has not disclosed golden parachute payments under </w:t>
      </w:r>
      <w:r>
        <w:rPr>
          <w:rFonts w:ascii="Times New Roman" w:hAnsi="Times New Roman" w:eastAsia="Times New Roman" w:cs="Times New Roman"/>
          <w:b w:val="0"/>
          <w:sz w:val="24"/>
        </w:rPr>
        <w:t xml:space="preserve">Item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they are typically disclosed here. Also disclosures on the target’s poison pill, if any, any applicable appraisal rights and any applicable business combination statutes are also customarily provided. If consummation of the acquirer’s proposed transaction would lead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acceleration of significant debt obligations or to the potential termination of material agreements, then such items may also be disclosed.</w:t>
      </w:r>
    </w:p>
    <w:p>
      <w:pPr>
        <w:keepNext w:val="0"/>
        <w:spacing w:before="120" w:after="0" w:line="260" w:lineRule="exact"/>
        <w:ind w:left="360" w:right="0" w:firstLine="0"/>
        <w:jc w:val="left"/>
      </w:pPr>
      <w:r>
        <w:rPr>
          <w:rFonts w:ascii="Times New Roman" w:hAnsi="Times New Roman" w:eastAsia="Times New Roman" w:cs="Times New Roman"/>
          <w:b w:val="0"/>
          <w:sz w:val="24"/>
        </w:rPr>
        <w:t>Item 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Customary disclosure under this item is generally consistent with the requirements under the Schedule.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