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Schedule of Publicly Held Securities for SDNY</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List of Publicly Held Securities</w:t>
      </w:r>
    </w:p>
    <w:p>
      <w:pPr>
        <w:keepNext w:val="0"/>
        <w:spacing w:before="120" w:after="0" w:line="260" w:lineRule="exact"/>
        <w:ind w:left="720" w:right="0" w:firstLine="240"/>
        <w:jc w:val="left"/>
      </w:pPr>
      <w:r>
        <w:rPr>
          <w:rFonts w:ascii="Times New Roman" w:hAnsi="Times New Roman" w:eastAsia="Times New Roman" w:cs="Times New Roman"/>
          <w:b w:val="0"/>
          <w:sz w:val="24"/>
        </w:rPr>
        <w:t>Pursuant to Local Bankruptcy Rule 1007-2(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)(7), the following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number and classes of shares of stock, debentures, and other securities of the debtors that are publicly held and the number of holders thereof. The securities held by the debtors’ directors and officers are listed separately.</w:t>
      </w:r>
    </w:p>
    <w:p>
      <w:pPr>
        <w:keepNext w:val="0"/>
        <w:spacing w:before="120" w:after="0" w:line="260" w:lineRule="exact"/>
        <w:ind w:left="720" w:right="0" w:firstLine="0"/>
        <w:jc w:val="left"/>
      </w:pPr>
      <w:r>
        <w:rPr>
          <w:rFonts w:ascii="Times New Roman" w:hAnsi="Times New Roman" w:eastAsia="Times New Roman" w:cs="Times New Roman"/>
          <w:b/>
          <w:sz w:val="24"/>
        </w:rPr>
        <w:t>Debtors’ Securities</w:t>
      </w:r>
    </w:p>
    <w:p>
      <w:pPr>
        <w:keepNext w:val="0"/>
        <w:spacing w:before="120" w:after="0" w:line="260" w:lineRule="exact"/>
        <w:ind w:left="720" w:right="0" w:firstLine="0"/>
        <w:jc w:val="left"/>
      </w:pPr>
      <w:r>
        <w:rPr>
          <w:rFonts w:ascii="Times New Roman" w:hAnsi="Times New Roman" w:eastAsia="Times New Roman" w:cs="Times New Roman"/>
          <w:b/>
          <w:sz w:val="24"/>
        </w:rPr>
        <w:t>Securities Held by the Debtors’ Directors and Officers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