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Securities Fraud and Insider Trading Policy</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by David Mittelman, Rimon PC</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This policy against insider trading and securities fraud provides guidelines to the employees, officers, and directors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publicly traded company with respect to transactions in the company’s securities.  Among other things, this policy prohibits directors, officers, employees, consultants and contractors from trading in the company’s securities based on material nonpublic information regarding the company, and imposes specific black-out periods and pre-clearance procedures for trading in the company’s stock on directors and officers and their family members.</w:t>
      </w:r>
    </w:p>
    <w:p>
      <w:pPr>
        <w:keepNext w:val="0"/>
        <w:spacing w:before="200" w:after="0" w:line="260" w:lineRule="exact"/>
        <w:ind w:left="0" w:right="0" w:firstLine="0"/>
        <w:jc w:val="both"/>
      </w:pPr>
      <w:r>
        <w:rPr>
          <w:rFonts w:ascii="Times New Roman" w:hAnsi="Times New Roman" w:eastAsia="Times New Roman" w:cs="Times New Roman"/>
          <w:b w:val="0"/>
          <w:sz w:val="24"/>
        </w:rPr>
        <w:t>For more information on insider trading policies, see Insider Trading Policies</w:t>
      </w:r>
    </w:p>
    <w:p>
      <w:pPr>
        <w:keepNext w:val="0"/>
        <w:spacing w:before="200" w:after="0" w:line="260" w:lineRule="exact"/>
        <w:ind w:left="0" w:right="0" w:firstLine="0"/>
        <w:jc w:val="both"/>
      </w:pPr>
      <w:r>
        <w:rPr>
          <w:rFonts w:ascii="Times New Roman" w:hAnsi="Times New Roman" w:eastAsia="Times New Roman" w:cs="Times New Roman"/>
          <w:b w:val="0"/>
          <w:sz w:val="24"/>
        </w:rPr>
        <w:t>This Policy provides guidelines to all employees, officers and directors of _______ and its subsidiaries (collectively, the “Company”) with respect to transactions in the Company’s securities.</w:t>
      </w:r>
    </w:p>
    <w:p>
      <w:pPr>
        <w:keepNext w:val="0"/>
        <w:spacing w:before="200" w:after="0" w:line="260" w:lineRule="exact"/>
        <w:ind w:left="0" w:right="0" w:firstLine="0"/>
        <w:jc w:val="both"/>
      </w:pPr>
      <w:r>
        <w:rPr>
          <w:rFonts w:ascii="Times New Roman" w:hAnsi="Times New Roman" w:eastAsia="Times New Roman" w:cs="Times New Roman"/>
          <w:b/>
          <w:sz w:val="24"/>
        </w:rPr>
        <w:t>Applicability of Policy</w:t>
      </w:r>
    </w:p>
    <w:p>
      <w:pPr>
        <w:keepNext w:val="0"/>
        <w:spacing w:before="200" w:after="0" w:line="260" w:lineRule="exact"/>
        <w:ind w:left="0" w:right="0" w:firstLine="0"/>
        <w:jc w:val="both"/>
      </w:pPr>
      <w:r>
        <w:rPr>
          <w:rFonts w:ascii="Times New Roman" w:hAnsi="Times New Roman" w:eastAsia="Times New Roman" w:cs="Times New Roman"/>
          <w:b w:val="0"/>
          <w:sz w:val="24"/>
        </w:rPr>
        <w:t>This Policy applies to all transactions in the Company’s securities, including common stock, options for common stock and any other securities the Company may issue from time to time, such as preferred stock, warrants, notes and debentures, as well as to derivative securities relating to the Company’s securities, whether or not issued by the Company, such as exchange-traded options. It applies to all officers of the Company, all members of the Company’s Board of Directors, and all employees of, and consultants and contractors to, the Company who receive or have access to Material Nonpublic Information (as defined below) regarding the Company. This group of people and their family members are sometimes referred to in this Policy as “Insiders.” Family members of any person include family residing with such person, any other person in such person’s household, any other family member whose transactions in Company securities are directed by such person or subject to such person’s influence or control, and any controlled affiliate of such person.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policy also is intended to prevent even the appearance of improper conduct on the part of anyone employed by or associated with the Company. Accordingly, any person who possesses Material Nonpublic Information regarding the Company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Insider for so long as the information is not publicly known.</w:t>
      </w:r>
    </w:p>
    <w:p>
      <w:pPr>
        <w:keepNext w:val="0"/>
        <w:spacing w:before="200" w:after="0" w:line="260" w:lineRule="exact"/>
        <w:ind w:left="0" w:right="0" w:firstLine="0"/>
        <w:jc w:val="both"/>
      </w:pPr>
      <w:r>
        <w:rPr>
          <w:rFonts w:ascii="Times New Roman" w:hAnsi="Times New Roman" w:eastAsia="Times New Roman" w:cs="Times New Roman"/>
          <w:b/>
          <w:sz w:val="24"/>
        </w:rPr>
        <w:t>Statement of Policy</w:t>
      </w:r>
    </w:p>
    <w:p>
      <w:pPr>
        <w:keepNext w:val="0"/>
        <w:spacing w:before="200" w:after="0" w:line="260" w:lineRule="exact"/>
        <w:ind w:left="0" w:right="0" w:firstLine="0"/>
        <w:jc w:val="both"/>
      </w:pPr>
      <w:r>
        <w:rPr>
          <w:rFonts w:ascii="Times New Roman" w:hAnsi="Times New Roman" w:eastAsia="Times New Roman" w:cs="Times New Roman"/>
          <w:b/>
          <w:sz w:val="24"/>
        </w:rPr>
        <w:t>General Policy</w:t>
      </w:r>
    </w:p>
    <w:p>
      <w:pPr>
        <w:keepNext w:val="0"/>
        <w:spacing w:before="200" w:after="0" w:line="260" w:lineRule="exact"/>
        <w:ind w:left="0" w:right="0" w:firstLine="0"/>
        <w:jc w:val="both"/>
      </w:pPr>
      <w:r>
        <w:rPr>
          <w:rFonts w:ascii="Times New Roman" w:hAnsi="Times New Roman" w:eastAsia="Times New Roman" w:cs="Times New Roman"/>
          <w:b w:val="0"/>
          <w:sz w:val="24"/>
        </w:rPr>
        <w:t>It is the policy of the Company to oppose the unauthorized disclosure of any nonpublic information and the misuse of Material Nonpublic Information in securities trading.</w:t>
      </w:r>
    </w:p>
    <w:p>
      <w:pPr>
        <w:keepNext w:val="0"/>
        <w:spacing w:before="200" w:after="0" w:line="260" w:lineRule="exact"/>
        <w:ind w:left="0" w:right="0" w:firstLine="0"/>
        <w:jc w:val="both"/>
      </w:pPr>
      <w:r>
        <w:rPr>
          <w:rFonts w:ascii="Times New Roman" w:hAnsi="Times New Roman" w:eastAsia="Times New Roman" w:cs="Times New Roman"/>
          <w:b/>
          <w:sz w:val="24"/>
        </w:rPr>
        <w:t>Specific Policies</w:t>
      </w:r>
    </w:p>
    <w:p>
      <w:pPr>
        <w:keepNext w:val="0"/>
        <w:spacing w:before="200" w:after="0" w:line="260" w:lineRule="exact"/>
        <w:ind w:left="0" w:right="0" w:firstLine="0"/>
        <w:jc w:val="both"/>
      </w:pPr>
      <w:r>
        <w:rPr>
          <w:rFonts w:ascii="Times New Roman" w:hAnsi="Times New Roman" w:eastAsia="Times New Roman" w:cs="Times New Roman"/>
          <w:b/>
          <w:sz w:val="24"/>
        </w:rPr>
        <w:t>Trading on the Basis of Material Nonpublic Information.</w:t>
      </w:r>
      <w:r>
        <w:rPr>
          <w:rFonts w:ascii="Times New Roman" w:hAnsi="Times New Roman" w:eastAsia="Times New Roman" w:cs="Times New Roman"/>
          <w:b w:val="0"/>
          <w:sz w:val="24"/>
        </w:rPr>
        <w:t xml:space="preserve"> No director, officer or employee of, or consultant or contractor to, the Company, or any of their respective family members, shall engage in any transaction involving the Company’s securities, including any offer to purchase or offer to sell, during any period commencing with the date that he or she becomes aware of Material Nonpublic Information concerning the Company, and ending at the close of business on the first Trading Day following the date of public disclosure of that information, or at such time as such nonpublic information is no longer material unless the transaction is completed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pre-determined trading program that (</w:t>
      </w:r>
      <w:r>
        <w:rPr>
          <w:rFonts w:ascii="Times New Roman" w:hAnsi="Times New Roman" w:eastAsia="Times New Roman" w:cs="Times New Roman"/>
          <w:b/>
          <w:sz w:val="24"/>
        </w:rPr>
        <w:t>a</w:t>
      </w:r>
      <w:r>
        <w:rPr>
          <w:rFonts w:ascii="Times New Roman" w:hAnsi="Times New Roman" w:eastAsia="Times New Roman" w:cs="Times New Roman"/>
          <w:b w:val="0"/>
          <w:sz w:val="24"/>
        </w:rPr>
        <w:t>) meets the requirements of Rule 10b5-1 of the Securities Exchange Act of 1934, as amended; (b) is adopted and/or amended only during the trading window (defined below) and when he or she did not possess Material Nonpublic Information or was not otherwise restricted from trading; and (c) is promptly filed upon initiation and/or amendment with the Company’s General Counsel (herein after “Rule 10b5-1 Transactions”). It is the current policy of the Company, unless otherwise approved in advance by the Company’s General Counsel, that Rule 10b5-1 Transactions not occur during the first month of each fiscal quarter.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As used herein, the term “Trading Day”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the New York Stock Exchange (NYSE) is open for trading.</w:t>
      </w:r>
    </w:p>
    <w:p>
      <w:pPr>
        <w:keepNext w:val="0"/>
        <w:spacing w:before="200" w:after="0" w:line="260" w:lineRule="exact"/>
        <w:ind w:left="0" w:right="0" w:firstLine="0"/>
        <w:jc w:val="both"/>
      </w:pPr>
      <w:r>
        <w:rPr>
          <w:rFonts w:ascii="Times New Roman" w:hAnsi="Times New Roman" w:eastAsia="Times New Roman" w:cs="Times New Roman"/>
          <w:b/>
          <w:sz w:val="24"/>
        </w:rPr>
        <w:t>Tipping.</w:t>
      </w:r>
      <w:r>
        <w:rPr>
          <w:rFonts w:ascii="Times New Roman" w:hAnsi="Times New Roman" w:eastAsia="Times New Roman" w:cs="Times New Roman"/>
          <w:b w:val="0"/>
          <w:sz w:val="24"/>
        </w:rPr>
        <w:t xml:space="preserve"> No Insider shall disclose Material Nonpublic Information to any other person (including family members) where such information may be used by such person to his or her profit by trading or in recommending or advising others to trade in the securities of companies to which such information relates, nor shall such Insider or other person make recommendations or express opinions on the basis of Material Nonpublic Information as to trading in the Company’s securities.</w:t>
      </w:r>
    </w:p>
    <w:p>
      <w:pPr>
        <w:keepNext w:val="0"/>
        <w:spacing w:before="200" w:after="0" w:line="260" w:lineRule="exact"/>
        <w:ind w:left="0" w:right="0" w:firstLine="0"/>
        <w:jc w:val="both"/>
      </w:pPr>
      <w:r>
        <w:rPr>
          <w:rFonts w:ascii="Times New Roman" w:hAnsi="Times New Roman" w:eastAsia="Times New Roman" w:cs="Times New Roman"/>
          <w:b/>
          <w:sz w:val="24"/>
        </w:rPr>
        <w:t>Confidentiality of Nonpublic Information.</w:t>
      </w:r>
      <w:r>
        <w:rPr>
          <w:rFonts w:ascii="Times New Roman" w:hAnsi="Times New Roman" w:eastAsia="Times New Roman" w:cs="Times New Roman"/>
          <w:b w:val="0"/>
          <w:sz w:val="24"/>
        </w:rPr>
        <w:t xml:space="preserve"> Nonpublic information relating to the Company is the property of the Company and the unauthorized disclosure of such information is forbidden. Employees should not discuss internal Company matters or developments with anyone outside the Company, except as required in the performance of their regular employment duties, nor should Company matters be discussed in public or quasi-public areas where conversations may be overheard. This prohibition also applies to inquiries about the Company, which may be made by the financial press, investment analysts or others in the financial community. It is important that all such communications on behalf of the Company be made only through designated authorized individuals as set forth in the Company’s Investor Communications Policy. If employees receive inquiries of this nature they should decline comments and refer the inquirer directly to the Company designated individuals responsible for such inquiries.</w:t>
      </w:r>
    </w:p>
    <w:p>
      <w:pPr>
        <w:keepNext w:val="0"/>
        <w:spacing w:before="200" w:after="0" w:line="260" w:lineRule="exact"/>
        <w:ind w:left="0" w:right="0" w:firstLine="0"/>
        <w:jc w:val="both"/>
      </w:pPr>
      <w:r>
        <w:rPr>
          <w:rFonts w:ascii="Times New Roman" w:hAnsi="Times New Roman" w:eastAsia="Times New Roman" w:cs="Times New Roman"/>
          <w:b/>
          <w:sz w:val="24"/>
        </w:rPr>
        <w:t>Certain Exceptions.</w:t>
      </w:r>
      <w:r>
        <w:rPr>
          <w:rFonts w:ascii="Times New Roman" w:hAnsi="Times New Roman" w:eastAsia="Times New Roman" w:cs="Times New Roman"/>
          <w:b w:val="0"/>
          <w:sz w:val="24"/>
        </w:rPr>
        <w:t xml:space="preserve"> The exercise of stock options for cash under the Company’s equity incentive plan and the purchase of any shares under the Company’s employee stock purchase plan are exempt from this Policy, since the other party to the transaction is the Company itself and the price does not vary with the market but is fixed by the terms of the option agreement or plan. The Policy does apply, however, to any sale of stock acquired by exercising any such option or pursuant to the stock purchase plan, including, any such sale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broker-assisted cashless exercise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or any other market sale for the purpose of generating the cash needed to pay the exercise price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The mandatory automatic sale of the Company’s common stock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employee of, or consultant or contractor to, the Company, or other Rule 10b5-1 Transactions, to cover taxes due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vesting of restricted stock units (hereinafter “Automatic Sales”) shall be exempt from this Policy.</w:t>
      </w:r>
    </w:p>
    <w:p>
      <w:pPr>
        <w:keepNext w:val="0"/>
        <w:spacing w:before="200" w:after="0" w:line="260" w:lineRule="exact"/>
        <w:ind w:left="0" w:right="0" w:firstLine="0"/>
        <w:jc w:val="both"/>
      </w:pPr>
      <w:r>
        <w:rPr>
          <w:rFonts w:ascii="Times New Roman" w:hAnsi="Times New Roman" w:eastAsia="Times New Roman" w:cs="Times New Roman"/>
          <w:b/>
          <w:sz w:val="24"/>
        </w:rPr>
        <w:t>Mandatory Pre-notification Procedure.</w:t>
      </w:r>
      <w:r>
        <w:rPr>
          <w:rFonts w:ascii="Times New Roman" w:hAnsi="Times New Roman" w:eastAsia="Times New Roman" w:cs="Times New Roman"/>
          <w:b w:val="0"/>
          <w:sz w:val="24"/>
        </w:rPr>
        <w:t xml:space="preserve"> Directors and executive officers have additional restrictions and reporting requirements imposed on them by United States federal law. In connection with these requirements, the Company has implemented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mandatory pre-notification procedure. No director or executive officer, together with their family members, may engage in any transaction involving the Company’s securities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plan transaction such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exercise,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or pledge or hedge,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any other transfer) without first notifying the Company at least two days in advance of the proposed transaction. This notification should be made by email or in writing to the Company’s General Counsel. </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In addition, any trading in Company securities by directors and executive officers, together with their family members, must be reported to the SEC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two-day period after the trade in accordance with the Sarbanes-Oxley Act of 2002. In addition to the pre-notification procedures set forth above, all directors and executive officers are responsible for reporting to the Company’s Chief Financial Officer the details of all trades involving the Company’s securities the same day of effecting the trade (the trade date, not the settlement date) so that the necessary report can be filed with the SEC within the required federal deadline. These reports are personal responsibilities of the reporting individuals and are not obligations of the Company; however, if authorized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director or executive officer, the Company will assist with making the necessary filings on behalf of such individual as long as the necessary information is provided within the required timeframe as set forth above. </w:t>
      </w:r>
    </w:p>
    <w:p>
      <w:pPr>
        <w:keepNext w:val="0"/>
        <w:spacing w:before="200" w:after="0" w:line="260" w:lineRule="exact"/>
        <w:ind w:left="0" w:right="0" w:firstLine="0"/>
        <w:jc w:val="both"/>
      </w:pPr>
      <w:r>
        <w:rPr>
          <w:rFonts w:ascii="Times New Roman" w:hAnsi="Times New Roman" w:eastAsia="Times New Roman" w:cs="Times New Roman"/>
          <w:b/>
          <w:sz w:val="24"/>
        </w:rPr>
        <w:t>Potential Criminal and Civil Liability and/or Disciplinary Action</w:t>
      </w:r>
    </w:p>
    <w:p>
      <w:pPr>
        <w:keepNext w:val="0"/>
        <w:spacing w:before="200" w:after="0" w:line="260" w:lineRule="exact"/>
        <w:ind w:left="0" w:right="0" w:firstLine="0"/>
        <w:jc w:val="both"/>
      </w:pPr>
      <w:r>
        <w:rPr>
          <w:rFonts w:ascii="Times New Roman" w:hAnsi="Times New Roman" w:eastAsia="Times New Roman" w:cs="Times New Roman"/>
          <w:b/>
          <w:sz w:val="24"/>
        </w:rPr>
        <w:t>Liability for Insider Trading.</w:t>
      </w:r>
      <w:r>
        <w:rPr>
          <w:rFonts w:ascii="Times New Roman" w:hAnsi="Times New Roman" w:eastAsia="Times New Roman" w:cs="Times New Roman"/>
          <w:b w:val="0"/>
          <w:sz w:val="24"/>
        </w:rPr>
        <w:t xml:space="preserve"> Company personnel who enter into transactions in on inside information are subject under United States Federal law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penalty of up to three times the profit gained or loss avoided;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fine of up to $5,000,000 (no matter how small the profit);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jail term of up to twenty years. Additionally, supervisory personnel, if they fail to take appropriate steps to prevent illegal insider trading, are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penalty of up to $1,000,000 or, if greater, three times the profit gained or loss avoided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employee's violation.</w:t>
      </w:r>
    </w:p>
    <w:p>
      <w:pPr>
        <w:keepNext w:val="0"/>
        <w:spacing w:before="200" w:after="0" w:line="260" w:lineRule="exact"/>
        <w:ind w:left="0" w:right="0" w:firstLine="0"/>
        <w:jc w:val="both"/>
      </w:pPr>
      <w:r>
        <w:rPr>
          <w:rFonts w:ascii="Times New Roman" w:hAnsi="Times New Roman" w:eastAsia="Times New Roman" w:cs="Times New Roman"/>
          <w:b/>
          <w:sz w:val="24"/>
        </w:rPr>
        <w:t>Liability for Tipping.</w:t>
      </w:r>
      <w:r>
        <w:rPr>
          <w:rFonts w:ascii="Times New Roman" w:hAnsi="Times New Roman" w:eastAsia="Times New Roman" w:cs="Times New Roman"/>
          <w:b w:val="0"/>
          <w:sz w:val="24"/>
        </w:rPr>
        <w:t xml:space="preserve"> Insiders may also be liable for improper transactions by any person (commonly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“tippee”) to whom they have disclosed Material Nonpublic Information regarding the Company or to whom they have made recommendations or expressed opinions on the basis of such information as to trading in the Company’s securities. Large penalties have been imposed upon persons who have disclosed such information to others, even when the disclosing person did not profit from the trading. The Securities and Exchange Commission, the stock exchanges and the Financial Industry Regulatory Authority (FINRA) use sophisticated surveillance techniques to uncover insider trading.</w:t>
      </w:r>
    </w:p>
    <w:p>
      <w:pPr>
        <w:keepNext w:val="0"/>
        <w:spacing w:before="200" w:after="0" w:line="260" w:lineRule="exact"/>
        <w:ind w:left="0" w:right="0" w:firstLine="0"/>
        <w:jc w:val="both"/>
      </w:pPr>
      <w:r>
        <w:rPr>
          <w:rFonts w:ascii="Times New Roman" w:hAnsi="Times New Roman" w:eastAsia="Times New Roman" w:cs="Times New Roman"/>
          <w:b/>
          <w:sz w:val="24"/>
        </w:rPr>
        <w:t>Possible Disciplinary Actions.</w:t>
      </w:r>
      <w:r>
        <w:rPr>
          <w:rFonts w:ascii="Times New Roman" w:hAnsi="Times New Roman" w:eastAsia="Times New Roman" w:cs="Times New Roman"/>
          <w:b w:val="0"/>
          <w:sz w:val="24"/>
        </w:rPr>
        <w:t xml:space="preserve"> Employees of the Company who violate this Policy shall also be subject to disciplinary action by the Company, which may include ineligibility for future participation in the Company’s equity incentive plans or termination of employment. Consultants and contractors who violate this Policy may have their relationship with the Company terminated.</w:t>
      </w:r>
    </w:p>
    <w:p>
      <w:pPr>
        <w:keepNext w:val="0"/>
        <w:spacing w:before="200" w:after="0" w:line="260" w:lineRule="exact"/>
        <w:ind w:left="0" w:right="0" w:firstLine="0"/>
        <w:jc w:val="both"/>
      </w:pPr>
      <w:r>
        <w:rPr>
          <w:rFonts w:ascii="Times New Roman" w:hAnsi="Times New Roman" w:eastAsia="Times New Roman" w:cs="Times New Roman"/>
          <w:b/>
          <w:sz w:val="24"/>
        </w:rPr>
        <w:t>Guidelines</w:t>
      </w:r>
    </w:p>
    <w:p>
      <w:pPr>
        <w:keepNext w:val="0"/>
        <w:spacing w:before="200" w:after="0" w:line="260" w:lineRule="exact"/>
        <w:ind w:left="0" w:right="0" w:firstLine="0"/>
        <w:jc w:val="both"/>
      </w:pPr>
      <w:r>
        <w:rPr>
          <w:rFonts w:ascii="Times New Roman" w:hAnsi="Times New Roman" w:eastAsia="Times New Roman" w:cs="Times New Roman"/>
          <w:b/>
          <w:sz w:val="24"/>
        </w:rPr>
        <w:t>Trading Window For Officers, Directors and Certain Designated Employees.</w:t>
      </w:r>
      <w:r>
        <w:rPr>
          <w:rFonts w:ascii="Times New Roman" w:hAnsi="Times New Roman" w:eastAsia="Times New Roman" w:cs="Times New Roman"/>
          <w:b w:val="0"/>
          <w:sz w:val="24"/>
        </w:rPr>
        <w:t xml:space="preserve"> The period beginning the 1st day of the last month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quarter and ending one Trading Day following the date of public disclosure of the financial results for that quarter,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particularly sensitive period of time for transactions in the Company’s securities from the perspective of compliance with applicable securities laws. This sensitivity is due to the fact that officers, directors and certain other employees will, during that period, often possess Material Nonpublic Information about the expected financial results for the quarter. Accordingly, to ensure compliance with this Policy and applicable United States federal and state securities laws, all directors, officers and employees of, or consultants or contractors to, the Company having access to the Company’s internal financial statements or other Material Nonpublic Information and their family members shall refrain from conducting transactions, except for Automatic Sales and other Rule 10b5-1 Transactions, unless otherwise approved in advance by the Company’s General Counsel, involving the purchase or sale of the Company’s securities other than during the period commencing at the close of business on the first Trading Day following the date of public disclosure of the financial results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quarter or year and continuing until the 1st day of the last month of the fiscal quarter (or, if such day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Trading Day, the end of the last Trading Day preceding such day) (the “trading window”). The purpose behind the “trading window” guideline is to help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effort to avoid any improper transaction (or even the appearance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transaction). From time to time, the Company may also recommend that directors, officers, selected employees and others suspend trading, except for Automatic Sales and other Rule 10b5-1 Transactions, because of developments known to the Company and not yet disclosed to the public. In such event, such persons are advised not to engage in any transaction, except for Automatic Sales and other Rule 10b5-1 Transactions, involving the purchase or sale of the Company’s securities during such period and should not disclose to others the fact of such suspension of trading.</w:t>
      </w:r>
    </w:p>
    <w:p>
      <w:pPr>
        <w:keepNext w:val="0"/>
        <w:spacing w:before="200" w:after="0" w:line="260" w:lineRule="exact"/>
        <w:ind w:left="0" w:right="0" w:firstLine="0"/>
        <w:jc w:val="both"/>
      </w:pPr>
      <w:r>
        <w:rPr>
          <w:rFonts w:ascii="Times New Roman" w:hAnsi="Times New Roman" w:eastAsia="Times New Roman" w:cs="Times New Roman"/>
          <w:b w:val="0"/>
          <w:sz w:val="24"/>
        </w:rPr>
        <w:t>In addition, the Company shall have the right to impose special black-out periods during which designated persons shall refrain from conducting transactions involving the purchase or sale of the Company’s securities, even though the trading window would otherwise be open.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It should be noted, however, that even during the trading window, any person possessing Material Nonpublic Information concerning the Company should not engage in any transactions, except for Automatic Sales and other Rule 10b5-1 Transactions, in the Company’s securities until such information has been known publicly for at least one Trading Day, whether or not the Company has recommended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suspension of trading to that person. Trading in the Company’s securities during the trading window should not be considered to be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harbor,” and all directors, officers and other persons should use good judgment at all times.</w:t>
      </w:r>
    </w:p>
    <w:p>
      <w:pPr>
        <w:keepNext w:val="0"/>
        <w:spacing w:before="200" w:after="0" w:line="260" w:lineRule="exact"/>
        <w:ind w:left="0" w:right="0" w:firstLine="0"/>
        <w:jc w:val="both"/>
      </w:pPr>
      <w:r>
        <w:rPr>
          <w:rFonts w:ascii="Times New Roman" w:hAnsi="Times New Roman" w:eastAsia="Times New Roman" w:cs="Times New Roman"/>
          <w:b/>
          <w:sz w:val="24"/>
        </w:rPr>
        <w:t>Individual Responsibility.</w:t>
      </w:r>
      <w:r>
        <w:rPr>
          <w:rFonts w:ascii="Times New Roman" w:hAnsi="Times New Roman" w:eastAsia="Times New Roman" w:cs="Times New Roman"/>
          <w:b w:val="0"/>
          <w:sz w:val="24"/>
        </w:rPr>
        <w:t xml:space="preserve"> Every officer, director, employee, consultant and contractor has the individual responsibility to comply with this Policy against insider trading, regardless of whether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mandatory trading window for that Insider or any other Insiders of the Company. The guidelines set forth in this Policy are guidelines only, and appropriate judgment should be exercised in connection with any trade in the Company’s securities.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Insider may, from time to time, have to forego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transaction, except for Automatic Sales and other Rule 10b5-1 Transactions, in the Company’s securities even if he or she planned to make the transaction before learning of the Material Nonpublic Information and even though the Insider believes he or she may suffer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economic loss or forego anticipated profit by waiting.</w:t>
      </w:r>
    </w:p>
    <w:p>
      <w:pPr>
        <w:keepNext w:val="0"/>
        <w:spacing w:before="200" w:after="0" w:line="260" w:lineRule="exact"/>
        <w:ind w:left="0" w:right="0" w:firstLine="0"/>
        <w:jc w:val="both"/>
      </w:pPr>
      <w:r>
        <w:rPr>
          <w:rFonts w:ascii="Times New Roman" w:hAnsi="Times New Roman" w:eastAsia="Times New Roman" w:cs="Times New Roman"/>
          <w:b/>
          <w:sz w:val="24"/>
        </w:rPr>
        <w:t>Applicability of Policy to Inside Information Regarding Other Companies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Policy and the guidelines described herein also apply to Material Nonpublic Information (i) relating to other companies, including the Company’s customers, vendors or suppliers (“business partners”), or (ii) relating to the Company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likelihood that it would be considered important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in 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decision to purchase, sell or hold stock of other companies, including business partners, in each case when that information is obtained in the course of employment with, or other services performed on behalf of, the Company. Civil and criminal penalties, and termination of employment, may result from trading on inside information regarding the Company’s business partners. All employees should treat Material Nonpublic Information about the Company’s business partners with the same care required with respect to information related directly to the Company.</w:t>
      </w:r>
    </w:p>
    <w:p>
      <w:pPr>
        <w:keepNext w:val="0"/>
        <w:spacing w:before="200" w:after="0" w:line="260" w:lineRule="exact"/>
        <w:ind w:left="0" w:right="0" w:firstLine="0"/>
        <w:jc w:val="both"/>
      </w:pPr>
      <w:r>
        <w:rPr>
          <w:rFonts w:ascii="Times New Roman" w:hAnsi="Times New Roman" w:eastAsia="Times New Roman" w:cs="Times New Roman"/>
          <w:b/>
          <w:sz w:val="24"/>
        </w:rPr>
        <w:t>Definition of Material Nonpublic Information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It is not possible to define all categories of material information. However, information should be regarded as material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likelihood that it would be considered important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in 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decision to purchase, sell or hold the Company’s securities. Insiders should assume that any information, positive or negative, is material if it might affect the Company’s stock price or otherwise be of significance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in determining whether to purchase, sell or hold the Company’s stock.</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While it may be difficult under this standard to determine whether particular information is material, there are various categories of information that are particularly sensitive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rule, should always be considered material. Examples of such information may include:</w:t>
      </w:r>
    </w:p>
    <w:p>
      <w:pPr>
        <w:keepNext w:val="0"/>
        <w:spacing w:before="120" w:after="0" w:line="260" w:lineRule="exact"/>
        <w:ind w:right="0"/>
        <w:jc w:val="both"/>
      </w:pPr>
      <w:r>
        <w:rPr>
          <w:rFonts w:ascii="Times New Roman" w:hAnsi="Times New Roman" w:eastAsia="Times New Roman" w:cs="Times New Roman"/>
          <w:b w:val="0"/>
          <w:sz w:val="24"/>
        </w:rPr>
        <w:t>Financial results</w:t>
      </w:r>
    </w:p>
    <w:p>
      <w:pPr>
        <w:keepNext w:val="0"/>
        <w:spacing w:before="120" w:after="0" w:line="260" w:lineRule="exact"/>
        <w:ind w:right="0"/>
        <w:jc w:val="both"/>
      </w:pPr>
      <w:r>
        <w:rPr>
          <w:rFonts w:ascii="Times New Roman" w:hAnsi="Times New Roman" w:eastAsia="Times New Roman" w:cs="Times New Roman"/>
          <w:b w:val="0"/>
          <w:sz w:val="24"/>
        </w:rPr>
        <w:t>Projections of future earnings or losses or changes in such projections</w:t>
      </w:r>
    </w:p>
    <w:p>
      <w:pPr>
        <w:keepNext w:val="0"/>
        <w:spacing w:before="120" w:after="0" w:line="260" w:lineRule="exact"/>
        <w:ind w:right="0"/>
        <w:jc w:val="both"/>
      </w:pPr>
      <w:r>
        <w:rPr>
          <w:rFonts w:ascii="Times New Roman" w:hAnsi="Times New Roman" w:eastAsia="Times New Roman" w:cs="Times New Roman"/>
          <w:b w:val="0"/>
          <w:sz w:val="24"/>
        </w:rPr>
        <w:t>Actual changes in earnings</w:t>
      </w:r>
    </w:p>
    <w:p>
      <w:pPr>
        <w:keepNext w:val="0"/>
        <w:spacing w:before="120" w:after="0" w:line="260" w:lineRule="exact"/>
        <w:ind w:right="0"/>
        <w:jc w:val="both"/>
      </w:pPr>
      <w:r>
        <w:rPr>
          <w:rFonts w:ascii="Times New Roman" w:hAnsi="Times New Roman" w:eastAsia="Times New Roman" w:cs="Times New Roman"/>
          <w:b w:val="0"/>
          <w:sz w:val="24"/>
        </w:rPr>
        <w:t>Results of product development</w:t>
      </w:r>
    </w:p>
    <w:p>
      <w:pPr>
        <w:keepNext w:val="0"/>
        <w:spacing w:before="120" w:after="0" w:line="260" w:lineRule="exact"/>
        <w:ind w:right="0"/>
        <w:jc w:val="both"/>
      </w:pPr>
      <w:r>
        <w:rPr>
          <w:rFonts w:ascii="Times New Roman" w:hAnsi="Times New Roman" w:eastAsia="Times New Roman" w:cs="Times New Roman"/>
          <w:b w:val="0"/>
          <w:sz w:val="24"/>
        </w:rPr>
        <w:t xml:space="preserve">News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pending or proposed merger, acquisition, joint venture or tender offer</w:t>
      </w:r>
    </w:p>
    <w:p>
      <w:pPr>
        <w:keepNext w:val="0"/>
        <w:spacing w:before="120" w:after="0" w:line="260" w:lineRule="exact"/>
        <w:ind w:right="0"/>
        <w:jc w:val="both"/>
      </w:pPr>
      <w:r>
        <w:rPr>
          <w:rFonts w:ascii="Times New Roman" w:hAnsi="Times New Roman" w:eastAsia="Times New Roman" w:cs="Times New Roman"/>
          <w:b w:val="0"/>
          <w:sz w:val="24"/>
        </w:rPr>
        <w:t xml:space="preserve">News of the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or of material assets</w:t>
      </w:r>
    </w:p>
    <w:p>
      <w:pPr>
        <w:keepNext w:val="0"/>
        <w:spacing w:before="120" w:after="0" w:line="260" w:lineRule="exact"/>
        <w:ind w:right="0"/>
        <w:jc w:val="both"/>
      </w:pPr>
      <w:r>
        <w:rPr>
          <w:rFonts w:ascii="Times New Roman" w:hAnsi="Times New Roman" w:eastAsia="Times New Roman" w:cs="Times New Roman"/>
          <w:b w:val="0"/>
          <w:sz w:val="24"/>
        </w:rPr>
        <w:t>Impending bankruptcy or financial liquidity problems</w:t>
      </w:r>
    </w:p>
    <w:p>
      <w:pPr>
        <w:keepNext w:val="0"/>
        <w:spacing w:before="120" w:after="0" w:line="260" w:lineRule="exact"/>
        <w:ind w:right="0"/>
        <w:jc w:val="both"/>
      </w:pPr>
      <w:r>
        <w:rPr>
          <w:rFonts w:ascii="Times New Roman" w:hAnsi="Times New Roman" w:eastAsia="Times New Roman" w:cs="Times New Roman"/>
          <w:b w:val="0"/>
          <w:sz w:val="24"/>
        </w:rPr>
        <w:t xml:space="preserve">Gain or loss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customer or supplier</w:t>
      </w:r>
    </w:p>
    <w:p>
      <w:pPr>
        <w:keepNext w:val="0"/>
        <w:spacing w:before="120" w:after="0" w:line="260" w:lineRule="exact"/>
        <w:ind w:right="0"/>
        <w:jc w:val="both"/>
      </w:pPr>
      <w:r>
        <w:rPr>
          <w:rFonts w:ascii="Times New Roman" w:hAnsi="Times New Roman" w:eastAsia="Times New Roman" w:cs="Times New Roman"/>
          <w:b w:val="0"/>
          <w:sz w:val="24"/>
        </w:rPr>
        <w:t>Changes in dividend policy</w:t>
      </w:r>
    </w:p>
    <w:p>
      <w:pPr>
        <w:keepNext w:val="0"/>
        <w:spacing w:before="120" w:after="0" w:line="260" w:lineRule="exact"/>
        <w:ind w:right="0"/>
        <w:jc w:val="both"/>
      </w:pPr>
      <w:r>
        <w:rPr>
          <w:rFonts w:ascii="Times New Roman" w:hAnsi="Times New Roman" w:eastAsia="Times New Roman" w:cs="Times New Roman"/>
          <w:b w:val="0"/>
          <w:sz w:val="24"/>
        </w:rPr>
        <w:t xml:space="preserve">New product announcements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nature</w:t>
      </w:r>
    </w:p>
    <w:p>
      <w:pPr>
        <w:keepNext w:val="0"/>
        <w:spacing w:before="120" w:after="0" w:line="260" w:lineRule="exact"/>
        <w:ind w:right="0"/>
        <w:jc w:val="both"/>
      </w:pPr>
      <w:r>
        <w:rPr>
          <w:rFonts w:ascii="Times New Roman" w:hAnsi="Times New Roman" w:eastAsia="Times New Roman" w:cs="Times New Roman"/>
          <w:b w:val="0"/>
          <w:sz w:val="24"/>
        </w:rPr>
        <w:t>Significant product defects or modifications</w:t>
      </w:r>
    </w:p>
    <w:p>
      <w:pPr>
        <w:keepNext w:val="0"/>
        <w:spacing w:before="120" w:after="0" w:line="260" w:lineRule="exact"/>
        <w:ind w:right="0"/>
        <w:jc w:val="both"/>
      </w:pPr>
      <w:r>
        <w:rPr>
          <w:rFonts w:ascii="Times New Roman" w:hAnsi="Times New Roman" w:eastAsia="Times New Roman" w:cs="Times New Roman"/>
          <w:b w:val="0"/>
          <w:sz w:val="24"/>
        </w:rPr>
        <w:t>Significant increases or decreases in customers</w:t>
      </w:r>
    </w:p>
    <w:p>
      <w:pPr>
        <w:keepNext w:val="0"/>
        <w:spacing w:before="120" w:after="0" w:line="260" w:lineRule="exact"/>
        <w:ind w:right="0"/>
        <w:jc w:val="both"/>
      </w:pPr>
      <w:r>
        <w:rPr>
          <w:rFonts w:ascii="Times New Roman" w:hAnsi="Times New Roman" w:eastAsia="Times New Roman" w:cs="Times New Roman"/>
          <w:b w:val="0"/>
          <w:sz w:val="24"/>
        </w:rPr>
        <w:t>Significant changes in net and gross adds in customers</w:t>
      </w:r>
    </w:p>
    <w:p>
      <w:pPr>
        <w:keepNext w:val="0"/>
        <w:spacing w:before="120" w:after="0" w:line="260" w:lineRule="exact"/>
        <w:ind w:right="0"/>
        <w:jc w:val="both"/>
      </w:pPr>
      <w:r>
        <w:rPr>
          <w:rFonts w:ascii="Times New Roman" w:hAnsi="Times New Roman" w:eastAsia="Times New Roman" w:cs="Times New Roman"/>
          <w:b w:val="0"/>
          <w:sz w:val="24"/>
        </w:rPr>
        <w:t>Significant pricing changes</w:t>
      </w:r>
    </w:p>
    <w:p>
      <w:pPr>
        <w:keepNext w:val="0"/>
        <w:spacing w:before="120" w:after="0" w:line="260" w:lineRule="exact"/>
        <w:ind w:right="0"/>
        <w:jc w:val="both"/>
      </w:pPr>
      <w:r>
        <w:rPr>
          <w:rFonts w:ascii="Times New Roman" w:hAnsi="Times New Roman" w:eastAsia="Times New Roman" w:cs="Times New Roman"/>
          <w:b w:val="0"/>
          <w:sz w:val="24"/>
        </w:rPr>
        <w:t>Stock splits</w:t>
      </w:r>
    </w:p>
    <w:p>
      <w:pPr>
        <w:keepNext w:val="0"/>
        <w:spacing w:before="120" w:after="0" w:line="260" w:lineRule="exact"/>
        <w:ind w:right="0"/>
        <w:jc w:val="both"/>
      </w:pPr>
      <w:r>
        <w:rPr>
          <w:rFonts w:ascii="Times New Roman" w:hAnsi="Times New Roman" w:eastAsia="Times New Roman" w:cs="Times New Roman"/>
          <w:b w:val="0"/>
          <w:sz w:val="24"/>
        </w:rPr>
        <w:t>Calls, redemptions, or purchases of the company’s securities by the Company</w:t>
      </w:r>
    </w:p>
    <w:p>
      <w:pPr>
        <w:keepNext w:val="0"/>
        <w:spacing w:before="120" w:after="0" w:line="260" w:lineRule="exact"/>
        <w:ind w:right="0"/>
        <w:jc w:val="both"/>
      </w:pPr>
      <w:r>
        <w:rPr>
          <w:rFonts w:ascii="Times New Roman" w:hAnsi="Times New Roman" w:eastAsia="Times New Roman" w:cs="Times New Roman"/>
          <w:b w:val="0"/>
          <w:sz w:val="24"/>
        </w:rPr>
        <w:t>New equity or debt offerings</w:t>
      </w:r>
    </w:p>
    <w:p>
      <w:pPr>
        <w:keepNext w:val="0"/>
        <w:spacing w:before="120" w:after="0" w:line="260" w:lineRule="exact"/>
        <w:ind w:right="0"/>
        <w:jc w:val="both"/>
      </w:pPr>
      <w:r>
        <w:rPr>
          <w:rFonts w:ascii="Times New Roman" w:hAnsi="Times New Roman" w:eastAsia="Times New Roman" w:cs="Times New Roman"/>
          <w:b w:val="0"/>
          <w:sz w:val="24"/>
        </w:rPr>
        <w:t>Significant litigation exposure due to actual or threatened litigation</w:t>
      </w:r>
    </w:p>
    <w:p>
      <w:pPr>
        <w:keepNext w:val="0"/>
        <w:spacing w:before="120" w:after="0" w:line="260" w:lineRule="exact"/>
        <w:ind w:right="0"/>
        <w:jc w:val="both"/>
      </w:pPr>
      <w:r>
        <w:rPr>
          <w:rFonts w:ascii="Times New Roman" w:hAnsi="Times New Roman" w:eastAsia="Times New Roman" w:cs="Times New Roman"/>
          <w:b w:val="0"/>
          <w:sz w:val="24"/>
        </w:rPr>
        <w:t>Changes in senior management or other major personnel changes</w:t>
      </w:r>
    </w:p>
    <w:p>
      <w:pPr>
        <w:keepNext w:val="0"/>
        <w:spacing w:before="120" w:after="0" w:line="260" w:lineRule="exact"/>
        <w:ind w:right="0"/>
        <w:jc w:val="both"/>
      </w:pPr>
      <w:r>
        <w:rPr>
          <w:rFonts w:ascii="Times New Roman" w:hAnsi="Times New Roman" w:eastAsia="Times New Roman" w:cs="Times New Roman"/>
          <w:b w:val="0"/>
          <w:sz w:val="24"/>
        </w:rPr>
        <w:t>Nonpublic information is Information that has not been previously disclosed to the general public and is otherwise not available to the general public</w:t>
      </w:r>
    </w:p>
    <w:p>
      <w:pPr>
        <w:keepNext w:val="0"/>
        <w:spacing w:before="200" w:after="0" w:line="260" w:lineRule="exact"/>
        <w:ind w:left="0" w:right="0" w:firstLine="0"/>
        <w:jc w:val="both"/>
      </w:pPr>
      <w:r>
        <w:rPr>
          <w:rFonts w:ascii="Times New Roman" w:hAnsi="Times New Roman" w:eastAsia="Times New Roman" w:cs="Times New Roman"/>
          <w:b/>
          <w:sz w:val="24"/>
        </w:rPr>
        <w:t>Additional Prohibited Transactions</w:t>
      </w:r>
    </w:p>
    <w:p>
      <w:pPr>
        <w:keepNext w:val="0"/>
        <w:spacing w:before="200" w:after="0" w:line="260" w:lineRule="exact"/>
        <w:ind w:left="0" w:right="0" w:firstLine="0"/>
        <w:jc w:val="both"/>
      </w:pPr>
      <w:r>
        <w:rPr>
          <w:rFonts w:ascii="Times New Roman" w:hAnsi="Times New Roman" w:eastAsia="Times New Roman" w:cs="Times New Roman"/>
          <w:b w:val="0"/>
          <w:sz w:val="24"/>
        </w:rPr>
        <w:t>The Company considers it improper and inappropriate for any employee, officer or director of the Company to engage in short-term or speculative transactions in the Company's securities. It therefore is the Company's policy that directors, officers and other employees, and their family members, may not engage in any of the following transactions:</w:t>
      </w:r>
    </w:p>
    <w:p>
      <w:pPr>
        <w:keepNext w:val="0"/>
        <w:spacing w:before="120" w:after="0" w:line="260" w:lineRule="exact"/>
        <w:ind w:right="0"/>
        <w:jc w:val="both"/>
      </w:pPr>
      <w:r>
        <w:rPr>
          <w:rFonts w:ascii="Times New Roman" w:hAnsi="Times New Roman" w:eastAsia="Times New Roman" w:cs="Times New Roman"/>
          <w:b/>
          <w:sz w:val="24"/>
        </w:rPr>
        <w:t>Short Sales.</w:t>
      </w:r>
      <w:r>
        <w:rPr>
          <w:rFonts w:ascii="Times New Roman" w:hAnsi="Times New Roman" w:eastAsia="Times New Roman" w:cs="Times New Roman"/>
          <w:b w:val="0"/>
          <w:sz w:val="24"/>
        </w:rPr>
        <w:t xml:space="preserve"> Short sales of the Company's securities evidence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expectation on the part of the seller that the securities will decline in value, and may signal to the market that the seller has no confidence in the Company or its short-term prospects. In addition, short sales may reduce the seller's incentive to improve the Company's performance. For these reasons, short sales of the Company's securities are prohibited by this Policy. In addition, Section 16(c) of the Exchange Act prohibits officers and directors from engaging in short sales.</w:t>
      </w:r>
    </w:p>
    <w:p>
      <w:pPr>
        <w:keepNext w:val="0"/>
        <w:spacing w:before="120" w:after="0" w:line="260" w:lineRule="exact"/>
        <w:ind w:right="0"/>
        <w:jc w:val="both"/>
      </w:pPr>
      <w:r>
        <w:rPr>
          <w:rFonts w:ascii="Times New Roman" w:hAnsi="Times New Roman" w:eastAsia="Times New Roman" w:cs="Times New Roman"/>
          <w:b/>
          <w:sz w:val="24"/>
        </w:rPr>
        <w:t>Publicly Traded Options.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in options is, in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bet on the short-term movement of the Company's stock and therefore creates the appearance that the director or employee is trading based on Material Nonpublic Information. Transactions in options also may focus the director's or employee's attention on short-term performance at the expense of the Company's long-term objectives. Accordingly, transactions in puts, calls or other derivative securities,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or in any other organized market, are prohibited by this Policy.</w:t>
      </w:r>
    </w:p>
    <w:p>
      <w:pPr>
        <w:keepNext w:val="0"/>
        <w:spacing w:before="120" w:after="0" w:line="260" w:lineRule="exact"/>
        <w:ind w:right="0"/>
        <w:jc w:val="both"/>
      </w:pPr>
      <w:r>
        <w:rPr>
          <w:rFonts w:ascii="Times New Roman" w:hAnsi="Times New Roman" w:eastAsia="Times New Roman" w:cs="Times New Roman"/>
          <w:b/>
          <w:sz w:val="24"/>
        </w:rPr>
        <w:t>Hedging Transactions.</w:t>
      </w:r>
      <w:r>
        <w:rPr>
          <w:rFonts w:ascii="Times New Roman" w:hAnsi="Times New Roman" w:eastAsia="Times New Roman" w:cs="Times New Roman"/>
          <w:b w:val="0"/>
          <w:sz w:val="24"/>
        </w:rPr>
        <w:t xml:space="preserve"> Certain forms of hedging or monetization transactions, such as zero-cost collars and forward sale contracts, allow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lock in much of the value of his or her stock holdings, often in exchange for all or part of the potential for upside appreciation in the stock. These transactions allow the director, officer or employee to continue to own the covered securities, but without the full risks and rewards of ownership. When that occurs, the director, officer or employee may no longer have the same objectives as the Company's other shareholders. Therefore, the all employees, officers and directors of the Company are prohibited from engaging in such transactions.</w:t>
      </w:r>
    </w:p>
    <w:p>
      <w:pPr>
        <w:keepNext w:val="0"/>
        <w:spacing w:before="120" w:after="0" w:line="260" w:lineRule="exact"/>
        <w:ind w:right="0"/>
        <w:jc w:val="both"/>
      </w:pPr>
      <w:r>
        <w:rPr>
          <w:rFonts w:ascii="Times New Roman" w:hAnsi="Times New Roman" w:eastAsia="Times New Roman" w:cs="Times New Roman"/>
          <w:b/>
          <w:sz w:val="24"/>
        </w:rPr>
        <w:t>Margin Accounts and Pledges.</w:t>
      </w:r>
      <w:r>
        <w:rPr>
          <w:rFonts w:ascii="Times New Roman" w:hAnsi="Times New Roman" w:eastAsia="Times New Roman" w:cs="Times New Roman"/>
          <w:b w:val="0"/>
          <w:sz w:val="24"/>
        </w:rPr>
        <w:t xml:space="preserve"> Securities held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margin account may be sold by the broker without the customer's consent if the customer fails to meet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margin call. Similarly, securities pledged (or hypothecated) as collateral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may be sold in foreclosure if the borrower defaults on the loan. Because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margin sale or foreclosure sale may occur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when the pledgor is aware of Material Nonpublic Information or otherwise is not permitted to trade in Company securities, directors, officers and other employees are prohibited from holding Company securities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margin account or pledging Company securities as collateral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to this prohibition may be granted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wishes to pledge Company securities as collateral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(not including margin debt) and clearly demonstrates the financial capacity to repay the loan without resort to the pledged securities. Any person who wishes to pledge Company securities as collateral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must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approval to the Company’s General Counsel at least two weeks prior to the proposed execution of documents evidencing the proposed pledge.</w:t>
      </w:r>
    </w:p>
    <w:p>
      <w:pPr>
        <w:keepNext w:val="0"/>
        <w:spacing w:before="120" w:after="0" w:line="260" w:lineRule="exact"/>
        <w:ind w:right="0"/>
        <w:jc w:val="both"/>
      </w:pPr>
      <w:r>
        <w:rPr>
          <w:rFonts w:ascii="Times New Roman" w:hAnsi="Times New Roman" w:eastAsia="Times New Roman" w:cs="Times New Roman"/>
          <w:b/>
          <w:sz w:val="24"/>
        </w:rPr>
        <w:t>Post-Termination Transactions.</w:t>
      </w:r>
      <w:r>
        <w:rPr>
          <w:rFonts w:ascii="Times New Roman" w:hAnsi="Times New Roman" w:eastAsia="Times New Roman" w:cs="Times New Roman"/>
          <w:b w:val="0"/>
          <w:sz w:val="24"/>
        </w:rPr>
        <w:t xml:space="preserve"> This Policy continues to apply to transactions in Company securities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is no longer employed by or affiliated with the Company. Any person in possession of Material Nonpublic Information when their employment terminates, may not trade in Company securities until that Information has become public or is no longer material.</w:t>
      </w:r>
    </w:p>
    <w:p>
      <w:pPr>
        <w:keepNext w:val="0"/>
        <w:spacing w:before="200" w:after="0" w:line="260" w:lineRule="exact"/>
        <w:ind w:left="0" w:right="0" w:firstLine="0"/>
        <w:jc w:val="both"/>
      </w:pPr>
      <w:r>
        <w:rPr>
          <w:rFonts w:ascii="Times New Roman" w:hAnsi="Times New Roman" w:eastAsia="Times New Roman" w:cs="Times New Roman"/>
          <w:b/>
          <w:sz w:val="24"/>
        </w:rPr>
        <w:t>Additional Information - Directors and Officers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Directors and executive officers of the Company must also comply with the reporting obligations and limitations on short-swing transactions set forth in Section 16 of the Securities Exchange Act of 1934, as amended. The practical effect of these provisions is that officers and directors who purchase and sell the Company’s securities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six-month period must disgorge all profits to the Company whether or not they had knowledge of any Material Nonpublic Information. Under these provisions, and so long as certain other criteria are met, neither the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under the Company’s option plans, nor the exercise of that option, nor the receipt of stock under the Company’s employee stock purchase plan is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under Section 16; however, the sale of any such shares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under Section 16.</w:t>
      </w:r>
    </w:p>
    <w:p>
      <w:pPr>
        <w:keepNext w:val="0"/>
        <w:spacing w:before="200" w:after="0" w:line="260" w:lineRule="exact"/>
        <w:ind w:left="0" w:right="0" w:firstLine="0"/>
        <w:jc w:val="both"/>
      </w:pPr>
      <w:r>
        <w:rPr>
          <w:rFonts w:ascii="Times New Roman" w:hAnsi="Times New Roman" w:eastAsia="Times New Roman" w:cs="Times New Roman"/>
          <w:b/>
          <w:sz w:val="24"/>
        </w:rPr>
        <w:t>Policy Subject to Revision</w:t>
      </w:r>
    </w:p>
    <w:p>
      <w:pPr>
        <w:keepNext w:val="0"/>
        <w:spacing w:before="200" w:after="0" w:line="260" w:lineRule="exact"/>
        <w:ind w:left="0" w:right="0" w:firstLine="0"/>
        <w:jc w:val="both"/>
      </w:pPr>
      <w:r>
        <w:rPr>
          <w:rFonts w:ascii="Times New Roman" w:hAnsi="Times New Roman" w:eastAsia="Times New Roman" w:cs="Times New Roman"/>
          <w:b w:val="0"/>
          <w:sz w:val="24"/>
        </w:rPr>
        <w:t>The Company may change or otherwise revise the terms of this Policy from time to time to respond to developments in law and practice. The Company will take steps to inform all affected persons of any material changes or revisions to this Policy.</w:t>
      </w:r>
    </w:p>
    <w:p>
      <w:pPr>
        <w:keepNext w:val="0"/>
        <w:spacing w:before="200" w:after="0" w:line="260" w:lineRule="exact"/>
        <w:ind w:left="0" w:right="0" w:firstLine="0"/>
        <w:jc w:val="both"/>
      </w:pPr>
      <w:r>
        <w:rPr>
          <w:rFonts w:ascii="Times New Roman" w:hAnsi="Times New Roman" w:eastAsia="Times New Roman" w:cs="Times New Roman"/>
          <w:b/>
          <w:sz w:val="24"/>
        </w:rPr>
        <w:t>Inquiries</w:t>
      </w:r>
    </w:p>
    <w:p>
      <w:pPr>
        <w:keepNext w:val="0"/>
        <w:spacing w:before="200" w:after="0" w:line="260" w:lineRule="exact"/>
        <w:ind w:left="0" w:right="0" w:firstLine="0"/>
        <w:jc w:val="both"/>
      </w:pPr>
      <w:r>
        <w:rPr>
          <w:rFonts w:ascii="Times New Roman" w:hAnsi="Times New Roman" w:eastAsia="Times New Roman" w:cs="Times New Roman"/>
          <w:b w:val="0"/>
          <w:sz w:val="24"/>
        </w:rPr>
        <w:t>Please direct your questions as to any of the matters discussed in this Policy to the Company’s General Counsel.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