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LexisNexis(R) Forms FORM 240-6.01</w:t>
      </w:r>
    </w:p>
    <w:p>
      <w:pPr>
        <w:keepNext w:val="0"/>
        <w:spacing w:before="120" w:after="0" w:line="260" w:lineRule="exact"/>
        <w:ind w:left="0" w:right="0" w:firstLine="0"/>
        <w:jc w:val="center"/>
      </w:pPr>
      <w:r>
        <w:rPr>
          <w:rFonts w:ascii="Times New Roman" w:hAnsi="Times New Roman" w:eastAsia="Times New Roman" w:cs="Times New Roman"/>
          <w:b w:val="0"/>
          <w:sz w:val="24"/>
        </w:rPr>
        <w:t>Transactional</w:t>
      </w:r>
    </w:p>
    <w:p>
      <w:pPr>
        <w:keepNext w:val="0"/>
        <w:spacing w:before="120" w:after="0" w:line="260" w:lineRule="exact"/>
        <w:ind w:left="0" w:right="0" w:firstLine="0"/>
        <w:jc w:val="center"/>
      </w:pPr>
      <w:r>
        <w:rPr>
          <w:rFonts w:ascii="Times New Roman" w:hAnsi="Times New Roman" w:eastAsia="Times New Roman" w:cs="Times New Roman"/>
          <w:b w:val="0"/>
          <w:sz w:val="24"/>
        </w:rPr>
        <w:t>Agreement</w:t>
      </w:r>
    </w:p>
    <w:p>
      <w:pPr>
        <w:keepNext w:val="0"/>
        <w:spacing w:before="120" w:after="0" w:line="260" w:lineRule="exact"/>
        <w:ind w:left="0" w:right="0" w:firstLine="0"/>
        <w:jc w:val="center"/>
      </w:pPr>
      <w:r>
        <w:rPr>
          <w:rFonts w:ascii="Times New Roman" w:hAnsi="Times New Roman" w:eastAsia="Times New Roman" w:cs="Times New Roman"/>
          <w:b w:val="0"/>
          <w:sz w:val="24"/>
        </w:rPr>
        <w:t>All States</w:t>
      </w:r>
    </w:p>
    <w:p>
      <w:pPr>
        <w:keepNext w:val="0"/>
        <w:spacing w:after="0" w:line="240" w:lineRule="exact"/>
        <w:ind w:right="0"/>
        <w:jc w:val="both"/>
      </w:pPr>
    </w:p>
    <w:p>
      <w:pPr>
        <w:keepNext/>
        <w:spacing w:before="240" w:after="0" w:line="340" w:lineRule="exact"/>
        <w:ind w:left="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FORM 6.01 Security agreement—short form</w:t>
      </w:r>
    </w:p>
    <w:p>
      <w:pPr>
        <w:spacing w:line="60" w:lineRule="exact"/>
      </w:pPr>
    </w:p>
    <w:p>
      <w:pPr/>
    </w:p>
    <w:p>
      <w:pPr/>
    </w:p>
    <w:p>
      <w:pPr>
        <w:keepNext w:val="0"/>
        <w:spacing w:before="240" w:after="0" w:line="260" w:lineRule="exact"/>
        <w:ind w:left="0" w:right="0" w:firstLine="0"/>
        <w:jc w:val="center"/>
      </w:pPr>
      <w:r>
        <w:rPr>
          <w:rFonts w:ascii="Times New Roman" w:hAnsi="Times New Roman" w:eastAsia="Times New Roman" w:cs="Times New Roman"/>
          <w:b/>
          <w:sz w:val="24"/>
        </w:rPr>
        <w:t>FORM</w:t>
      </w:r>
    </w:p>
    <w:p>
      <w:pPr>
        <w:keepNext w:val="0"/>
        <w:spacing w:before="200" w:after="0" w:line="260" w:lineRule="exact"/>
        <w:ind w:left="0" w:right="0" w:firstLine="0"/>
        <w:jc w:val="both"/>
      </w:pPr>
      <w:r>
        <w:rPr>
          <w:rFonts w:ascii="Times New Roman" w:hAnsi="Times New Roman" w:eastAsia="Times New Roman" w:cs="Times New Roman"/>
          <w:b w:val="0"/>
          <w:sz w:val="24"/>
        </w:rPr>
        <w:t>September 4, 2013</w:t>
      </w:r>
    </w:p>
    <w:p>
      <w:pPr>
        <w:keepNext w:val="0"/>
        <w:spacing w:before="200" w:after="0" w:line="260" w:lineRule="exact"/>
        <w:ind w:left="0" w:right="0" w:firstLine="0"/>
        <w:jc w:val="both"/>
      </w:pPr>
      <w:r>
        <w:rPr>
          <w:rFonts w:ascii="Times New Roman" w:hAnsi="Times New Roman" w:eastAsia="Times New Roman" w:cs="Times New Roman"/>
          <w:b w:val="0"/>
          <w:sz w:val="24"/>
        </w:rPr>
        <w:t>Roger Monroe, residing at 342 East 34th Street, Brooklyn, New York (“Debtor”), and Ira Prentiss, residing at 46 Albemarle Road, Brooklyn, New York (“Secured Party”) agree as follows:</w:t>
      </w:r>
    </w:p>
    <w:p>
      <w:pPr>
        <w:keepNext w:val="0"/>
        <w:spacing w:before="200" w:after="0" w:line="260" w:lineRule="exact"/>
        <w:ind w:left="0" w:right="0" w:firstLine="0"/>
        <w:jc w:val="both"/>
      </w:pPr>
      <w:r>
        <w:rPr>
          <w:rFonts w:ascii="Times New Roman" w:hAnsi="Times New Roman" w:eastAsia="Times New Roman" w:cs="Times New Roman"/>
          <w:b w:val="0"/>
          <w:sz w:val="24"/>
        </w:rPr>
        <w:t xml:space="preserve">1. </w:t>
      </w:r>
      <w:r>
        <w:rPr>
          <w:rFonts w:ascii="Times New Roman" w:hAnsi="Times New Roman" w:eastAsia="Times New Roman" w:cs="Times New Roman"/>
          <w:b w:val="0"/>
          <w:sz w:val="24"/>
        </w:rPr>
        <w:t>Creation of security interest.</w:t>
      </w:r>
      <w:r>
        <w:rPr>
          <w:rFonts w:ascii="Times New Roman" w:hAnsi="Times New Roman" w:eastAsia="Times New Roman" w:cs="Times New Roman"/>
          <w:b w:val="0"/>
          <w:sz w:val="24"/>
        </w:rPr>
        <w:t xml:space="preserve"> Debtor hereby grants to Secured Party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security interest in the Collateral described in paragraph 2 to secure the payment of Debtor’s obligation to Secured Party under paragraph 3.</w:t>
      </w:r>
    </w:p>
    <w:p>
      <w:pPr>
        <w:keepNext w:val="0"/>
        <w:spacing w:before="200" w:after="0" w:line="260" w:lineRule="exact"/>
        <w:ind w:left="0" w:right="0" w:firstLine="0"/>
        <w:jc w:val="both"/>
      </w:pPr>
      <w:r>
        <w:rPr>
          <w:rFonts w:ascii="Times New Roman" w:hAnsi="Times New Roman" w:eastAsia="Times New Roman" w:cs="Times New Roman"/>
          <w:b w:val="0"/>
          <w:sz w:val="24"/>
        </w:rPr>
        <w:t xml:space="preserve">2. </w:t>
      </w:r>
      <w:r>
        <w:rPr>
          <w:rFonts w:ascii="Times New Roman" w:hAnsi="Times New Roman" w:eastAsia="Times New Roman" w:cs="Times New Roman"/>
          <w:b w:val="0"/>
          <w:sz w:val="24"/>
        </w:rPr>
        <w:t>Collateral.</w:t>
      </w:r>
      <w:r>
        <w:rPr>
          <w:rFonts w:ascii="Times New Roman" w:hAnsi="Times New Roman" w:eastAsia="Times New Roman" w:cs="Times New Roman"/>
          <w:b w:val="0"/>
          <w:sz w:val="24"/>
        </w:rPr>
        <w:t xml:space="preserve"> The property which is subject to the security interest created by this agreement consists of equipment, more specifically described as follows: One Cold Temp commercial freezer, Model CB-207, Serial #6WYE78926875, together with any proceeds of such property.</w:t>
      </w:r>
    </w:p>
    <w:p>
      <w:pPr>
        <w:keepNext w:val="0"/>
        <w:spacing w:before="200" w:after="0" w:line="260" w:lineRule="exact"/>
        <w:ind w:left="0" w:right="0" w:firstLine="0"/>
        <w:jc w:val="both"/>
      </w:pPr>
      <w:r>
        <w:rPr>
          <w:rFonts w:ascii="Times New Roman" w:hAnsi="Times New Roman" w:eastAsia="Times New Roman" w:cs="Times New Roman"/>
          <w:b w:val="0"/>
          <w:sz w:val="24"/>
        </w:rPr>
        <w:t xml:space="preserve">3. </w:t>
      </w:r>
      <w:r>
        <w:rPr>
          <w:rFonts w:ascii="Times New Roman" w:hAnsi="Times New Roman" w:eastAsia="Times New Roman" w:cs="Times New Roman"/>
          <w:b w:val="0"/>
          <w:sz w:val="24"/>
        </w:rPr>
        <w:t>Debtor’s obligation.</w:t>
      </w:r>
      <w:r>
        <w:rPr>
          <w:rFonts w:ascii="Times New Roman" w:hAnsi="Times New Roman" w:eastAsia="Times New Roman" w:cs="Times New Roman"/>
          <w:b w:val="0"/>
          <w:sz w:val="24"/>
        </w:rPr>
        <w:t xml:space="preserve"> Debtor shall pay to Secured Party the sum of $25,500, together with interest thereon at the rate of 8 percent per annum, as follows: in monthly installments of $1,229.20, the first such installment to be paid on October 1, 2013, and each succeeding installment to be paid on the first day of each month thereafter, until the entire principal sum, together with all accrued interest thereon, has been paid in full.</w:t>
      </w:r>
    </w:p>
    <w:p>
      <w:pPr>
        <w:keepNext w:val="0"/>
        <w:spacing w:before="200" w:after="0" w:line="260" w:lineRule="exact"/>
        <w:ind w:left="0" w:right="0" w:firstLine="0"/>
        <w:jc w:val="both"/>
      </w:pPr>
      <w:r>
        <w:rPr>
          <w:rFonts w:ascii="Times New Roman" w:hAnsi="Times New Roman" w:eastAsia="Times New Roman" w:cs="Times New Roman"/>
          <w:b w:val="0"/>
          <w:sz w:val="24"/>
        </w:rPr>
        <w:t xml:space="preserve">4. </w:t>
      </w:r>
      <w:r>
        <w:rPr>
          <w:rFonts w:ascii="Times New Roman" w:hAnsi="Times New Roman" w:eastAsia="Times New Roman" w:cs="Times New Roman"/>
          <w:b w:val="0"/>
          <w:sz w:val="24"/>
        </w:rPr>
        <w:t>Default.</w:t>
      </w:r>
      <w:r>
        <w:rPr>
          <w:rFonts w:ascii="Times New Roman" w:hAnsi="Times New Roman" w:eastAsia="Times New Roman" w:cs="Times New Roman"/>
          <w:b w:val="0"/>
          <w:sz w:val="24"/>
        </w:rPr>
        <w:t xml:space="preserve"> If Debtor fails to pay any required monthly installment under paragraph 3 of this agreement on or before the fifth day of the month in which the installment is due, all unpaid installments shall, at Secured Party’s option, become immediately due and payable. In addition to such right of acceleration, Secured Party shall be entitled to any and all rights and remedies available under the Uniform Commercial Code in force in the State of New York on the date of this agreement. Secured Party may exercise any right or remedy at any one or more times without waiving all other rights and remedies hereby reserved, all of which are cumulative and not exclusive.</w:t>
      </w:r>
    </w:p>
    <w:p>
      <w:pPr>
        <w:keepNext w:val="0"/>
        <w:spacing w:before="200" w:after="0" w:line="260" w:lineRule="exact"/>
        <w:ind w:left="0" w:right="0" w:firstLine="0"/>
        <w:jc w:val="both"/>
      </w:pPr>
      <w:r>
        <w:rPr>
          <w:rFonts w:ascii="Times New Roman" w:hAnsi="Times New Roman" w:eastAsia="Times New Roman" w:cs="Times New Roman"/>
          <w:b w:val="0"/>
          <w:sz w:val="24"/>
        </w:rPr>
        <w:t>5. The parties intend this statement of their agreement to constitute the complete, exclusive, and fully integrated statement of their agreement. As such, it is the sole repository of their agreement and they are not bound by any other agreements of whatsoever kind or nature. The parties also intend that this complete, exclusive, and fully integrated statement of their agreement may not be supplemented or explained (interpreted) by any evidence of trade usage or course of dealing.</w:t>
      </w:r>
    </w:p>
    <w:p>
      <w:pPr>
        <w:keepNext w:val="0"/>
        <w:spacing w:before="200" w:after="0" w:line="260" w:lineRule="exact"/>
        <w:ind w:left="0" w:right="0" w:firstLine="0"/>
        <w:jc w:val="both"/>
      </w:pPr>
      <w:r>
        <w:rPr>
          <w:rFonts w:ascii="Times New Roman" w:hAnsi="Times New Roman" w:eastAsia="Times New Roman" w:cs="Times New Roman"/>
          <w:b w:val="0"/>
          <w:sz w:val="24"/>
        </w:rPr>
        <w:t>6. Any and all matters of dispute between the parties to this agreement, whether arising from the agreement itself or arising from alleged extracontractual matters occurring prior to, during, or subsequent to the formation of the agreement, including, without limitation, fraud, misrepresentation, negligence, or any other alleged tort or violation of the contract, shall be governed by, construed, and enforced in accordance with the laws of [name of jurisdiction], regardless of the legal theory upon which such matter is asserted. The parties hereby agree that the United Nations Convention on Contracts for the International Sale of Goods will not apply to this contract.</w:t>
      </w:r>
    </w:p>
    <w:p>
      <w:pPr>
        <w:keepNext w:val="0"/>
        <w:spacing w:before="200" w:after="0" w:line="260" w:lineRule="exact"/>
        <w:ind w:left="0" w:right="0" w:firstLine="0"/>
        <w:jc w:val="both"/>
      </w:pPr>
      <w:r>
        <w:rPr>
          <w:rFonts w:ascii="Times New Roman" w:hAnsi="Times New Roman" w:eastAsia="Times New Roman" w:cs="Times New Roman"/>
          <w:b w:val="0"/>
          <w:sz w:val="24"/>
        </w:rPr>
        <w:t>7. The rights and duties under this contract may neither be assigned nor delegated. The parties hereby agree (1) not to assign their rights or delegate their duties, and (2) the parties further agree to surrender any power to assign their rights or delegate their duties as of the moment of formation of this contract. Any attempt by either party to assign any right or delegate any duty under this contract shall be null and void.</w:t>
      </w:r>
    </w:p>
    <w:p>
      <w:pPr>
        <w:keepNext w:val="0"/>
        <w:spacing w:before="120" w:after="0" w:line="220" w:lineRule="exact"/>
        <w:ind w:left="0" w:right="0" w:firstLine="0"/>
        <w:jc w:val="left"/>
      </w:pPr>
      <w:r>
        <w:rPr>
          <w:rFonts w:ascii="Times New Roman" w:hAnsi="Times New Roman" w:eastAsia="Times New Roman" w:cs="Times New Roman"/>
          <w:sz w:val="24"/>
        </w:rPr>
        <w:br/>
      </w:r>
      <w:r>
        <w:rPr>
          <w:rFonts w:ascii="Times New Roman" w:hAnsi="Times New Roman" w:eastAsia="Times New Roman" w:cs="Times New Roman"/>
          <w:b w:val="0"/>
          <w:sz w:val="24"/>
        </w:rPr>
        <w:t>Current Legal Forms with Tax Analysis</w:t>
      </w:r>
    </w:p>
    <w:p>
      <w:pPr>
        <w:keepNext w:val="0"/>
        <w:spacing w:after="0" w:line="220" w:lineRule="exact"/>
        <w:ind w:left="0" w:right="0" w:firstLine="0"/>
        <w:jc w:val="left"/>
      </w:pPr>
      <w:r>
        <w:rPr>
          <w:rFonts w:ascii="Times New Roman" w:hAnsi="Times New Roman" w:eastAsia="Times New Roman" w:cs="Times New Roman"/>
          <w:b w:val="0"/>
          <w:sz w:val="24"/>
        </w:rPr>
        <w:t xml:space="preserve">Copyright 2022,  Matthew Bender &amp; Company, Inc.,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of the LexisNexis Group.</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