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Selling Stockholder Legal Opinion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[Law Firm Letterhead]</w:t>
      </w:r>
    </w:p>
    <w:p>
      <w:pPr>
        <w:keepNext w:val="0"/>
        <w:spacing w:before="200" w:after="0" w:line="260" w:lineRule="exact"/>
        <w:ind w:left="360" w:right="0" w:firstLine="0"/>
        <w:jc w:val="both"/>
      </w:pPr>
      <w:r>
        <w:rPr>
          <w:rFonts w:ascii="Times New Roman" w:hAnsi="Times New Roman" w:eastAsia="Times New Roman" w:cs="Times New Roman"/>
          <w:b w:val="0"/>
          <w:sz w:val="24"/>
        </w:rPr>
        <w:t>[Lead underwriter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Representative of the Underwriters named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(the "Underwriters")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counsel to the persons and entities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identified as Selling Stockholders on Schedule B annexed hereto in connection with the registration and sale under the Securities Act of 1933, as amended, of [number] shares _(the "Shares") of the common stock, par value $[par value] per share,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company (the "Company"), and the public offering thereof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dated [date] by and among Company, the Selling Stockholders, and the Underwriters (the "Underwriting Agreement"). This opinion letter is delivered pursuant to Section [number] of the Underwriting Agreement. Capitalized terms not otherwise defined herein have the meanings ascribed to them in the Underwriting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our capacity as counsel to the Selling Stockholders and in connection with this opinion letter, we have examined and relied upon such originals or copies, certified or otherwise identified to our satisfaction, of such documents, corporate records, certificates of public officials, and other instruments as we have deemed necessary or advisable for the purpose of rendering this opinion.</w:t>
      </w:r>
    </w:p>
    <w:p>
      <w:pPr>
        <w:keepNext w:val="0"/>
        <w:spacing w:before="200" w:after="0" w:line="260" w:lineRule="exact"/>
        <w:ind w:left="360" w:right="0" w:firstLine="0"/>
        <w:jc w:val="both"/>
      </w:pPr>
      <w:r>
        <w:rPr>
          <w:rFonts w:ascii="Times New Roman" w:hAnsi="Times New Roman" w:eastAsia="Times New Roman" w:cs="Times New Roman"/>
          <w:b w:val="0"/>
          <w:sz w:val="24"/>
        </w:rPr>
        <w:t>Based upon and subject to the foregoing, we are of the opinion and so advise you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Selling Stockholder has all requisite corporate power and authority to execute and deliver the Underwriting Agreement and to perform its obligations thereunder. The execution, delivery, and performance of the Underwriting Agreement by each Selling Stockholder have been duly authorized by all necessary corporate or other action on the part of such Selling Stockholder.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execution and delivery by each Selling Stockholder of the Underwriting Agreement and the performance by such Selling Stockholder of its obligations thereunder will not conflict with,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violate (i) any of the terms, conditions, or provisions of the Certificate of Incorporation or by-laws of such Selling Stockholder, (ii) any of the terms, conditions, or provisions of any document, agreement, or other instrument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Company's Registration Statement and to which such Selling Stockholder is party, (iii) the laws of the State of New York, the corporate laws of the State of Delaware, or federal law or regulation (other than federal and state securities or Blue Sky laws or insurance statutes or regulations, as to which we express no opinion in this paragraph), or (iv) any judgment, writ, injunction, decree, order, or ruling of any court or governmental authority binding on such Selling Stockholder of which we are aware.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consent, approval, waiver, license, or authorization or other action by or filing with any federal, New York, or Delaware corporate governmental authority is required in connection with the execution and delivery by any Selling Stockholder of the Underwriting Agreement, the consummation by any Selling Stockholder of the transactions contemplated thereby, or the performance by any Selling Stockholder of its obligations thereunder, except for those in connection with federal and state securities or Blue Sky laws, as to which we express no opinion in this paragraph, and those already obtained or made.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Shares to be sold are owned of record by the Selling Stockholders and are free and clear of all adverse claims, options, and other encumbrances.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 indication by the Depositary Trust Company (the "DTC") by book entry that the Shares have been credited to the Underwriters' securities account at DTC or (ii) DTC's acquisition of such Shares for the Underwriters and acceptance of such Shares for the Underwriters' securities account (assuming in either such case that neither the Underwriters nor DTC has notice of any adverse claim) and (b) payment therefor in accordance with the terms of the Underwriting Agreement, (x) DTC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protected purchaser of such Shares, and (y) the Underwriter will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security entitlement in respect of such Shares.</w:t>
      </w:r>
    </w:p>
    <w:p>
      <w:pPr>
        <w:keepNext w:val="0"/>
        <w:spacing w:before="200" w:after="0" w:line="260" w:lineRule="exact"/>
        <w:ind w:left="360" w:right="0" w:firstLine="0"/>
        <w:jc w:val="both"/>
      </w:pPr>
      <w:r>
        <w:rPr>
          <w:rFonts w:ascii="Times New Roman" w:hAnsi="Times New Roman" w:eastAsia="Times New Roman" w:cs="Times New Roman"/>
          <w:b w:val="0"/>
          <w:sz w:val="24"/>
        </w:rPr>
        <w:t>The opinions expressed herein are solely for your benefit and, without our prior written consent, neither our opinions nor this opinion letter may be disclosed publicly to or relied upon by any other person. This opinion letter is limited to, and no opinion is implied or may be inferred beyond, the matters expressly stated herein. The opinions expressed herein are rendered only as of the date hereof, and we assume no responsibility to advise you of facts, circumstances, changes in law, or other events or developments that hereafter may occur or be brought to our attention and that may alter, affect, or modify the opinions expressed 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