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the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project as agreed upon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that by reason of their relationship to the other hereunder, each may disclose or provide access (the "Disclosing Party") to the other Party (the "Receiving Party")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(i) was lawfully in Receiving Party's possession before receipt from Disclosing Party; (ii) at or after the time of disclosure, becomes generally available to the public other than through any act or omission of the Receiving Party; (iii) is developed by Receiving Party independently of any Confidential Information it receives from Disclosing Party; (iv)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(v)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 365).</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[Pennsylvania],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[Pennsylvania,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