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[frequency, e.g., weekly, monthly,]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sixty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(2%)]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 Payment of the Expenses is subject to completion of the Services covered thereby in accordance with the terms of this Agreement and/or the applicable SOW.</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represents and warrants to Customer that: (1)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(2)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(3)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(4)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[number,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California, without giving effect to the principles of conflicts of law of such state. The Parties hereby agree that any action arising out of this Agreement will be brought solely in any state or federal court located in California,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