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as set forth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may be modified and/or expanded periodically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two percent]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warrants and represents that (1) it is qualified to perform the Services; (2) all the Services shall be performed by qualified personnel, who will be properly supervised; (3)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(4)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third-party's confidential information; or (d) arising from or relating to the Services or the Work Product or any Third-Party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 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New Jersey, without giving effect to the principles of conflicts of law of such state. The Parties hereby agree that any action arising out of this Agreement will be brought solely in any state or federal court located in New Jersey,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 </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 xml:space="preserve">Exhibit </w:t>
      </w:r>
      <w:r>
        <w:rPr>
          <w:rFonts w:ascii="Times New Roman" w:hAnsi="Times New Roman" w:eastAsia="Times New Roman" w:cs="Times New Roman"/>
          <w:b/>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