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represents and warrants to Customer that: (1)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(2)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(3)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Service Provider's possession before receipt from Customer, as established by competent evidence; (b) at or after the time of disclosure, becomes generally available to the public other than through any act or omission of the Service Provider, or (c)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(4)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 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Pennsylvania, without giving effect to the principles of conflicts of law of such state. The Parties hereby agree that any action arising out of this Agreement will be brought solely in any state or federal court located in Pennsylvania,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