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TO: Board of Directors (the “Board”) of [company] (the “Company”)</w:t>
      </w:r>
    </w:p>
    <w:p>
      <w:pPr/>
      <w:r>
        <w:rPr>
          <w:rFonts w:ascii="Times New Roman" w:hAnsi="Times New Roman" w:eastAsia="Times New Roman" w:cs="Times New Roman"/>
          <w:sz w:val="24"/>
        </w:rPr>
        <w:t>FROM: [name], [title/firm]</w:t>
      </w:r>
    </w:p>
    <w:p>
      <w:pPr/>
      <w:r>
        <w:rPr>
          <w:rFonts w:ascii="Times New Roman" w:hAnsi="Times New Roman" w:eastAsia="Times New Roman" w:cs="Times New Roman"/>
          <w:sz w:val="24"/>
        </w:rPr>
        <w:t xml:space="preserve">SUBJECT: Shareholder Engagement Strategies for Environmental, Social, and Political (“ESP”) Issues </w:t>
      </w:r>
    </w:p>
    <w:p>
      <w:pPr/>
      <w:r>
        <w:rPr>
          <w:rFonts w:ascii="Times New Roman" w:hAnsi="Times New Roman" w:eastAsia="Times New Roman" w:cs="Times New Roman"/>
          <w:sz w:val="24"/>
        </w:rPr>
        <w:t>DATE: [date]</w:t>
      </w:r>
    </w:p>
    <w:p>
      <w:pPr/>
      <w:r>
        <w:rPr>
          <w:rFonts w:ascii="Times New Roman" w:hAnsi="Times New Roman" w:eastAsia="Times New Roman" w:cs="Times New Roman"/>
          <w:sz w:val="24"/>
        </w:rPr>
        <w:t>As discussed in [a recent meeting of the Board / the meeting of the Board dated [</w:t>
      </w:r>
      <w:r>
        <w:rPr>
          <w:rFonts w:ascii="Times New Roman" w:hAnsi="Times New Roman" w:eastAsia="Times New Roman" w:cs="Times New Roman"/>
          <w:sz w:val="24"/>
        </w:rPr>
        <w:t>date</w:t>
      </w:r>
      <w:r>
        <w:rPr>
          <w:rFonts w:ascii="Times New Roman" w:hAnsi="Times New Roman" w:eastAsia="Times New Roman" w:cs="Times New Roman"/>
          <w:sz w:val="24"/>
        </w:rPr>
        <w:t>],] [and] [i]n view of the increased significance of ESP issues to shareholders and recent shareholder proposals relating to ESP issues submitted to similarly-situated companies in the Company’s industry[, including proposals relating to sustainability disclosures, gender pay equity, diversity of the membership of the board of directors,] the Board has determined to ensure the Company’s shareholder engagement strategy is ready to address shareholders’ ESP-related concerns in an effective manner.</w:t>
      </w:r>
    </w:p>
    <w:p>
      <w:pPr/>
      <w:r>
        <w:rPr>
          <w:rFonts w:ascii="Times New Roman" w:hAnsi="Times New Roman" w:eastAsia="Times New Roman" w:cs="Times New Roman"/>
          <w:sz w:val="24"/>
        </w:rPr>
        <w:t>To aid the Board in achieving this goal, t</w:t>
      </w:r>
      <w:r>
        <w:rPr>
          <w:rFonts w:ascii="Times New Roman" w:hAnsi="Times New Roman" w:eastAsia="Times New Roman" w:cs="Times New Roman"/>
          <w:sz w:val="24"/>
        </w:rPr>
        <w:t xml:space="preserve">his memo will </w:t>
      </w:r>
      <w:r>
        <w:rPr>
          <w:rFonts w:ascii="Times New Roman" w:hAnsi="Times New Roman" w:eastAsia="Times New Roman" w:cs="Times New Roman"/>
          <w:sz w:val="24"/>
        </w:rPr>
        <w:t xml:space="preserve">review ESP-related shifts in shareholder priorities, how different types of shareholders and outside parties approach ESP issues, and effective </w:t>
      </w:r>
      <w:r>
        <w:rPr>
          <w:rFonts w:ascii="Times New Roman" w:hAnsi="Times New Roman" w:eastAsia="Times New Roman" w:cs="Times New Roman"/>
          <w:sz w:val="24"/>
        </w:rPr>
        <w:t>engagement strategies</w:t>
      </w:r>
      <w:r>
        <w:rPr>
          <w:rFonts w:ascii="Times New Roman" w:hAnsi="Times New Roman" w:eastAsia="Times New Roman" w:cs="Times New Roman"/>
          <w:sz w:val="24"/>
        </w:rPr>
        <w:t xml:space="preserve"> the Company may employ</w:t>
      </w:r>
      <w:r>
        <w:rPr>
          <w:rFonts w:ascii="Times New Roman" w:hAnsi="Times New Roman" w:eastAsia="Times New Roman" w:cs="Times New Roman"/>
          <w:sz w:val="24"/>
        </w:rPr>
        <w:t>.</w:t>
      </w:r>
    </w:p>
    <w:p>
      <w:pPr/>
      <w:r>
        <w:rPr>
          <w:rFonts w:ascii="Times New Roman" w:hAnsi="Times New Roman" w:eastAsia="Times New Roman" w:cs="Times New Roman"/>
          <w:sz w:val="24"/>
        </w:rPr>
        <w:t>Introduction.</w:t>
      </w:r>
      <w:r>
        <w:rPr>
          <w:rFonts w:ascii="Times New Roman" w:hAnsi="Times New Roman" w:eastAsia="Times New Roman" w:cs="Times New Roman"/>
          <w:sz w:val="24"/>
        </w:rPr>
        <w:t xml:space="preserve"> </w:t>
      </w:r>
      <w:r>
        <w:rPr>
          <w:rFonts w:ascii="Times New Roman" w:hAnsi="Times New Roman" w:eastAsia="Times New Roman" w:cs="Times New Roman"/>
          <w:sz w:val="24"/>
        </w:rPr>
        <w:t>Over the past twenty years, ESP issues have become more and more important to shareholders’ voting patterns. From a mere 6% in the year 2000, support for ESP-related shareholder proposals has increased to nearly a quarter of votes cast in 2018 and continues to increase. This reflects a shift in the types of investors that hold public company shares from retail to institutional shareholders and a resulting shift in priorities from short- to long-term value. Institutional investors, who tend to value long-term gains, now own approximately 80% of the U.S. equity market capitalization, up from 67% in 2010. Institutional investors agree that these issues are extremely important to them; affect their voting deeply; and should receive fulsome disclosure, with a connection to long-term financial risks, opportunities, and outcomes, by their portfolio companies. For example, BlackRock and State Street have published letters to clients discussing their increased scrutiny of the disclosure and handling of environmental issues by companies in which they invest.</w:t>
      </w:r>
    </w:p>
    <w:p>
      <w:pPr/>
      <w:r>
        <w:rPr>
          <w:rFonts w:ascii="Times New Roman" w:hAnsi="Times New Roman" w:eastAsia="Times New Roman" w:cs="Times New Roman"/>
          <w:sz w:val="24"/>
        </w:rPr>
        <w:t>ESP issues are diverse, shift in public visibility quickly and dramatically, and evolve over time. A few examples include: climate change, sustainable energy sources, gender pay equity, LGBTQIA+ representation, representation of people of color, ethical or “fair trade” supply chains, and outsourcing practices. Companies have had to adapt their shareholder engagement strategies to accommodate the increased importance of ESP issues to investors and address the concerns of institutional shareholders, the strategies of activist shareholders, and the pressures of proxy advisory companies.</w:t>
      </w:r>
    </w:p>
    <w:p>
      <w:pPr/>
      <w:r>
        <w:rPr>
          <w:rFonts w:ascii="Times New Roman" w:hAnsi="Times New Roman" w:eastAsia="Times New Roman" w:cs="Times New Roman"/>
          <w:sz w:val="24"/>
        </w:rPr>
        <w:t>Pressures from Institutional Shareholders, Activists, and Proxy Advisory Companies.</w:t>
      </w:r>
      <w:r>
        <w:rPr>
          <w:rFonts w:ascii="Times New Roman" w:hAnsi="Times New Roman" w:eastAsia="Times New Roman" w:cs="Times New Roman"/>
          <w:sz w:val="24"/>
        </w:rPr>
        <w:t xml:space="preserve"> The increased shareholding of institutional investors has brought their priorities to the forefront. Institutional investors, especially passive institutional investors, tend not to be able to divest from any particular company easily, relative to retail investors, and therefore compute value differently. The main difference, from an ESP perspective, is that they place </w:t>
      </w:r>
      <w:r>
        <w:rPr>
          <w:rFonts w:ascii="Times New Roman" w:hAnsi="Times New Roman" w:eastAsia="Times New Roman" w:cs="Times New Roman"/>
          <w:sz w:val="24"/>
        </w:rPr>
        <w:t>more emphasis on long-term performance. This emphasis means that they are likely to engage with their portfolio companies on issues which historically have been given little weight by investors focused on the short-term. They use this more active engagement style to decrease their “downside risk,” the risk of loss of value due to market conditions, arising from ESP issues.</w:t>
      </w:r>
    </w:p>
    <w:p>
      <w:pPr/>
      <w:r>
        <w:rPr>
          <w:rFonts w:ascii="Times New Roman" w:hAnsi="Times New Roman" w:eastAsia="Times New Roman" w:cs="Times New Roman"/>
          <w:sz w:val="24"/>
        </w:rPr>
        <w:t>A single ESP issue can pose several types of downside risk. The following are examples of three categories of risk arising from a single issue, [climate change]:</w:t>
      </w:r>
    </w:p>
    <w:p>
      <w:pPr/>
      <w:r>
        <w:rPr>
          <w:rFonts w:ascii="Times New Roman" w:hAnsi="Times New Roman" w:eastAsia="Times New Roman" w:cs="Times New Roman"/>
          <w:b/>
          <w:sz w:val="24"/>
        </w:rPr>
        <w:t>Regulatory risk.</w:t>
      </w:r>
      <w:r>
        <w:rPr>
          <w:rFonts w:ascii="Times New Roman" w:hAnsi="Times New Roman" w:eastAsia="Times New Roman" w:cs="Times New Roman"/>
          <w:sz w:val="24"/>
        </w:rPr>
        <w:t xml:space="preserve"> [As the effects of climate change intensify, governments may promulgate rules, laws, or policies to mitigate these effects. The imposition of carbon taxes or a decrease or elimination of subsidies for fossil fuels as part of a transition to renewable and sustainable power generation would be particularly relevant to The Company.]</w:t>
      </w:r>
    </w:p>
    <w:p>
      <w:pPr/>
      <w:r>
        <w:rPr>
          <w:rFonts w:ascii="Times New Roman" w:hAnsi="Times New Roman" w:eastAsia="Times New Roman" w:cs="Times New Roman"/>
          <w:b/>
          <w:sz w:val="24"/>
        </w:rPr>
        <w:t>Business risk.</w:t>
      </w:r>
      <w:r>
        <w:rPr>
          <w:rFonts w:ascii="Times New Roman" w:hAnsi="Times New Roman" w:eastAsia="Times New Roman" w:cs="Times New Roman"/>
          <w:sz w:val="24"/>
        </w:rPr>
        <w:t xml:space="preserve"> [The effects of climate change, if not sufficiently mitigated, may directly impact The Company’s customers, suppliers, facilities, or assets. If the Company’s datacenters in [</w:t>
      </w:r>
      <w:r>
        <w:rPr>
          <w:rFonts w:ascii="Times New Roman" w:hAnsi="Times New Roman" w:eastAsia="Times New Roman" w:cs="Times New Roman"/>
          <w:sz w:val="24"/>
        </w:rPr>
        <w:t>location</w:t>
      </w:r>
      <w:r>
        <w:rPr>
          <w:rFonts w:ascii="Times New Roman" w:hAnsi="Times New Roman" w:eastAsia="Times New Roman" w:cs="Times New Roman"/>
          <w:sz w:val="24"/>
        </w:rPr>
        <w:t>] were to experience higher average temperatures or increased flood risk, the cost of maintaining such datacenters would rise.]</w:t>
      </w:r>
    </w:p>
    <w:p>
      <w:pPr/>
      <w:r>
        <w:rPr>
          <w:rFonts w:ascii="Times New Roman" w:hAnsi="Times New Roman" w:eastAsia="Times New Roman" w:cs="Times New Roman"/>
          <w:b/>
          <w:sz w:val="24"/>
        </w:rPr>
        <w:t>Reputational risk.</w:t>
      </w:r>
      <w:r>
        <w:rPr>
          <w:rFonts w:ascii="Times New Roman" w:hAnsi="Times New Roman" w:eastAsia="Times New Roman" w:cs="Times New Roman"/>
          <w:sz w:val="24"/>
        </w:rPr>
        <w:t xml:space="preserve"> [The Company’s policies and communications relating to climate change may harm its perception in the market. If the Company were to make a political contribution that customers viewed as an impediment to shifting from fossil fuels to sustainable and renewable sources of power, it may damage the Company’s reputation.]</w:t>
      </w:r>
    </w:p>
    <w:p>
      <w:pPr/>
      <w:r>
        <w:rPr>
          <w:rFonts w:ascii="Times New Roman" w:hAnsi="Times New Roman" w:eastAsia="Times New Roman" w:cs="Times New Roman"/>
          <w:sz w:val="24"/>
        </w:rPr>
        <w:t>Similar categories of risk may attend other ESP issues facing the Company.</w:t>
      </w:r>
    </w:p>
    <w:p>
      <w:pPr/>
      <w:r>
        <w:rPr>
          <w:rFonts w:ascii="Times New Roman" w:hAnsi="Times New Roman" w:eastAsia="Times New Roman" w:cs="Times New Roman"/>
          <w:sz w:val="24"/>
        </w:rPr>
        <w:t>Activist investors understand these risks and priorities and have shifted the arguments they use to support their shareholder proposals accordingly. Their tactics include seeking institutional investor support by framing ESP issues in terms of long-term performance and leveraging reputational risk by linking ESP issues to their shareholder proposals and public comments about the target company.</w:t>
      </w:r>
    </w:p>
    <w:p>
      <w:pPr/>
      <w:r>
        <w:rPr>
          <w:rFonts w:ascii="Times New Roman" w:hAnsi="Times New Roman" w:eastAsia="Times New Roman" w:cs="Times New Roman"/>
          <w:sz w:val="24"/>
        </w:rPr>
        <w:t>Activist investors tend to lack the funds to take large positions in their targets’ voting stock. As a result, their primary means of applying pressure to a target company is by submitting shareholder proposals for inclusion in the company’s proxy materials pursuant to Rule 14a-8 under the Securities Exchange Act of 1934, as amended (“Exchange Act”). They may also submit competing proxy materials to shareholders, although this is a more costly undertaking, pursuant to Regulation 14A under the Exchange Act. The pressuring effect of shareholder proposals leads most of them to end in settlement agreements between the activists and the company, but a significant number do go to a vote and pass.</w:t>
      </w:r>
    </w:p>
    <w:p>
      <w:pPr/>
      <w:r>
        <w:rPr>
          <w:rFonts w:ascii="Times New Roman" w:hAnsi="Times New Roman" w:eastAsia="Times New Roman" w:cs="Times New Roman"/>
          <w:sz w:val="24"/>
        </w:rPr>
        <w:t xml:space="preserve">Proxy advisory firms, such as Institutional Shareholder Services (ISS) and Glass, Lewis, &amp; Co., constitute a third source of ESP pressure. Although they have less influence than they once did, their voting recommendations are still widely read. ISS’ “E&amp;S </w:t>
      </w:r>
      <w:r>
        <w:rPr>
          <w:rFonts w:ascii="Times New Roman" w:hAnsi="Times New Roman" w:eastAsia="Times New Roman" w:cs="Times New Roman"/>
          <w:sz w:val="24"/>
        </w:rPr>
        <w:t>Qualityscore</w:t>
      </w:r>
      <w:r>
        <w:rPr>
          <w:rFonts w:ascii="Times New Roman" w:hAnsi="Times New Roman" w:eastAsia="Times New Roman" w:cs="Times New Roman"/>
          <w:sz w:val="24"/>
        </w:rPr>
        <w:t xml:space="preserve">” metric tracks hundreds of ESP-related issues and this score is playing an increasingly prominent role in their voting recommendations. The creation of the E&amp;S </w:t>
      </w:r>
      <w:r>
        <w:rPr>
          <w:rFonts w:ascii="Times New Roman" w:hAnsi="Times New Roman" w:eastAsia="Times New Roman" w:cs="Times New Roman"/>
          <w:sz w:val="24"/>
        </w:rPr>
        <w:t>Qualityscore</w:t>
      </w:r>
      <w:r>
        <w:rPr>
          <w:rFonts w:ascii="Times New Roman" w:hAnsi="Times New Roman" w:eastAsia="Times New Roman" w:cs="Times New Roman"/>
          <w:sz w:val="24"/>
        </w:rPr>
        <w:t xml:space="preserve"> in 2018 is further evidence of the rising importance of ESP issues among investors.</w:t>
      </w:r>
    </w:p>
    <w:p>
      <w:pPr/>
      <w:r>
        <w:rPr>
          <w:rFonts w:ascii="Times New Roman" w:hAnsi="Times New Roman" w:eastAsia="Times New Roman" w:cs="Times New Roman"/>
          <w:sz w:val="24"/>
        </w:rPr>
        <w:t>The pressures and proposals on the Company from institutional investors, activist investors, and/or proxy advisors are likely to make demands similar to the following:</w:t>
      </w:r>
    </w:p>
    <w:p>
      <w:pPr/>
      <w:r>
        <w:rPr>
          <w:rFonts w:ascii="Times New Roman" w:hAnsi="Times New Roman" w:eastAsia="Times New Roman" w:cs="Times New Roman"/>
          <w:sz w:val="24"/>
        </w:rPr>
        <w:t>Enhanced disclosure relating to an ESP issue</w:t>
      </w:r>
    </w:p>
    <w:p>
      <w:pPr/>
      <w:r>
        <w:rPr>
          <w:rFonts w:ascii="Times New Roman" w:hAnsi="Times New Roman" w:eastAsia="Times New Roman" w:cs="Times New Roman"/>
          <w:sz w:val="24"/>
        </w:rPr>
        <w:t>Nomination and election of candidates to the board of directors who are, in the proponents’ view, better positioned to address an ESP issue</w:t>
      </w:r>
    </w:p>
    <w:p>
      <w:pPr/>
      <w:r>
        <w:rPr>
          <w:rFonts w:ascii="Times New Roman" w:hAnsi="Times New Roman" w:eastAsia="Times New Roman" w:cs="Times New Roman"/>
          <w:sz w:val="24"/>
        </w:rPr>
        <w:t>Setting specific ESP-related performance targets and linking management compensation to those targets</w:t>
      </w:r>
    </w:p>
    <w:p>
      <w:pPr/>
      <w:r>
        <w:rPr>
          <w:rFonts w:ascii="Times New Roman" w:hAnsi="Times New Roman" w:eastAsia="Times New Roman" w:cs="Times New Roman"/>
          <w:sz w:val="24"/>
        </w:rPr>
        <w:t>Divestment from a particular supplier, line of business, or termination of a relationship with a specific customer (such as a government agency)</w:t>
      </w:r>
    </w:p>
    <w:p>
      <w:pPr/>
      <w:r>
        <w:rPr>
          <w:rFonts w:ascii="Times New Roman" w:hAnsi="Times New Roman" w:eastAsia="Times New Roman" w:cs="Times New Roman"/>
          <w:sz w:val="24"/>
        </w:rPr>
        <w:t>Setting up a charitable or nonprofit structure to mitigate the effects of an ESP issue</w:t>
      </w:r>
    </w:p>
    <w:p>
      <w:pPr/>
      <w:r>
        <w:rPr>
          <w:rFonts w:ascii="Times New Roman" w:hAnsi="Times New Roman" w:eastAsia="Times New Roman" w:cs="Times New Roman"/>
          <w:sz w:val="24"/>
        </w:rPr>
        <w:t>Modifications to internal company policies, such as hiring practices</w:t>
      </w:r>
    </w:p>
    <w:p>
      <w:pPr/>
      <w:r>
        <w:rPr>
          <w:rFonts w:ascii="Times New Roman" w:hAnsi="Times New Roman" w:eastAsia="Times New Roman" w:cs="Times New Roman"/>
          <w:sz w:val="24"/>
        </w:rPr>
        <w:t>Engaging with Shareholders Effectively.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Given these trends, the Company should seek to understand who its particular shareholders are, their voting histories, the mix of institutional and other investor types holding its shares, and how the Company’s industry bears on its shareholders’ needs. </w:t>
      </w:r>
    </w:p>
    <w:p>
      <w:pPr/>
      <w:r>
        <w:rPr>
          <w:rFonts w:ascii="Times New Roman" w:hAnsi="Times New Roman" w:eastAsia="Times New Roman" w:cs="Times New Roman"/>
          <w:sz w:val="24"/>
        </w:rPr>
        <w:t>[</w:t>
      </w:r>
      <w:r>
        <w:rPr>
          <w:rFonts w:ascii="Times New Roman" w:hAnsi="Times New Roman" w:eastAsia="Times New Roman" w:cs="Times New Roman"/>
          <w:sz w:val="24"/>
        </w:rPr>
        <w:t>if applicable, insert a discussion of the Company’s key shareholders, their prior voting patterns, and any other existing research or indicators</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A. </w:t>
      </w:r>
      <w:r>
        <w:rPr>
          <w:rFonts w:ascii="Times New Roman" w:hAnsi="Times New Roman" w:eastAsia="Times New Roman" w:cs="Times New Roman"/>
          <w:sz w:val="24"/>
        </w:rPr>
        <w:t>Responsibilities of the Investor Relations Team or Contact</w:t>
      </w:r>
    </w:p>
    <w:p>
      <w:pPr/>
      <w:r>
        <w:rPr>
          <w:rFonts w:ascii="Times New Roman" w:hAnsi="Times New Roman" w:eastAsia="Times New Roman" w:cs="Times New Roman"/>
          <w:sz w:val="24"/>
        </w:rPr>
        <w:t>The essential rules of shareholder engagement are even more critical in the context of a sensitive ESP issue. The speed and intensity of social media can cause an ESP issue to impact a company’s public image, and even share price, quickly and without warning. In response, a</w:t>
      </w:r>
      <w:r>
        <w:rPr>
          <w:rFonts w:ascii="Times New Roman" w:hAnsi="Times New Roman" w:eastAsia="Times New Roman" w:cs="Times New Roman"/>
          <w:sz w:val="24"/>
        </w:rPr>
        <w:t xml:space="preserve">n increasing number of public companies are setting up dedicated investor relations </w:t>
      </w:r>
      <w:r>
        <w:rPr>
          <w:rFonts w:ascii="Times New Roman" w:hAnsi="Times New Roman" w:eastAsia="Times New Roman" w:cs="Times New Roman"/>
          <w:sz w:val="24"/>
        </w:rPr>
        <w:t xml:space="preserve">(IR) </w:t>
      </w:r>
      <w:r>
        <w:rPr>
          <w:rFonts w:ascii="Times New Roman" w:hAnsi="Times New Roman" w:eastAsia="Times New Roman" w:cs="Times New Roman"/>
          <w:sz w:val="24"/>
        </w:rPr>
        <w:t xml:space="preserve">teams to handle the increased speed, complexity, and sensitivity of modern shareholder engagement. </w:t>
      </w:r>
      <w:r>
        <w:rPr>
          <w:rFonts w:ascii="Times New Roman" w:hAnsi="Times New Roman" w:eastAsia="Times New Roman" w:cs="Times New Roman"/>
          <w:sz w:val="24"/>
        </w:rPr>
        <w:t>Setting up</w:t>
      </w:r>
      <w:r>
        <w:rPr>
          <w:rFonts w:ascii="Times New Roman" w:hAnsi="Times New Roman" w:eastAsia="Times New Roman" w:cs="Times New Roman"/>
          <w:sz w:val="24"/>
        </w:rPr>
        <w:t xml:space="preserve"> a dedicated </w:t>
      </w:r>
      <w:r>
        <w:rPr>
          <w:rFonts w:ascii="Times New Roman" w:hAnsi="Times New Roman" w:eastAsia="Times New Roman" w:cs="Times New Roman"/>
          <w:sz w:val="24"/>
        </w:rPr>
        <w:t>IR</w:t>
      </w:r>
      <w:r>
        <w:rPr>
          <w:rFonts w:ascii="Times New Roman" w:hAnsi="Times New Roman" w:eastAsia="Times New Roman" w:cs="Times New Roman"/>
          <w:sz w:val="24"/>
        </w:rPr>
        <w:t xml:space="preserve"> team </w:t>
      </w:r>
      <w:r>
        <w:rPr>
          <w:rFonts w:ascii="Times New Roman" w:hAnsi="Times New Roman" w:eastAsia="Times New Roman" w:cs="Times New Roman"/>
          <w:sz w:val="24"/>
        </w:rPr>
        <w:t>allows a company to engage early and often with shareholders,</w:t>
      </w:r>
      <w:r>
        <w:rPr>
          <w:rFonts w:ascii="Times New Roman" w:hAnsi="Times New Roman" w:eastAsia="Times New Roman" w:cs="Times New Roman"/>
          <w:sz w:val="24"/>
        </w:rPr>
        <w:t xml:space="preserve"> ensures conflicting messages</w:t>
      </w:r>
      <w:r>
        <w:rPr>
          <w:rFonts w:ascii="Times New Roman" w:hAnsi="Times New Roman" w:eastAsia="Times New Roman" w:cs="Times New Roman"/>
          <w:sz w:val="24"/>
        </w:rPr>
        <w:t xml:space="preserve"> don’t come from different sources, and allows team members to develop the expertise and depth of knowledge on complex or sensitive ESP issues faced by the company needed to respond in a clear, informed way. Some companies hire the services of an investor relations firm as an alternative. </w:t>
      </w:r>
      <w:r>
        <w:rPr>
          <w:rFonts w:ascii="Times New Roman" w:hAnsi="Times New Roman" w:eastAsia="Times New Roman" w:cs="Times New Roman"/>
          <w:sz w:val="24"/>
        </w:rPr>
        <w:t>In the absence of a dedicated investor relations team, the Company should at least designate a single point of contact for shareholder concerns</w:t>
      </w:r>
      <w:r>
        <w:rPr>
          <w:rFonts w:ascii="Times New Roman" w:hAnsi="Times New Roman" w:eastAsia="Times New Roman" w:cs="Times New Roman"/>
          <w:sz w:val="24"/>
        </w:rPr>
        <w:t xml:space="preserve"> and provide that contact with as much support as possible.</w:t>
      </w:r>
    </w:p>
    <w:p>
      <w:pPr/>
      <w:r>
        <w:rPr>
          <w:rFonts w:ascii="Times New Roman" w:hAnsi="Times New Roman" w:eastAsia="Times New Roman" w:cs="Times New Roman"/>
          <w:sz w:val="24"/>
        </w:rPr>
        <w:t>The IR team or contact will need to, at a minimum:</w:t>
      </w:r>
    </w:p>
    <w:p>
      <w:pPr/>
      <w:r>
        <w:rPr>
          <w:rFonts w:ascii="Times New Roman" w:hAnsi="Times New Roman" w:eastAsia="Times New Roman" w:cs="Times New Roman"/>
          <w:sz w:val="24"/>
        </w:rPr>
        <w:t>Understand current ESP-related concerns of the company’s shareholders and predict, or at least plan for, their future ESP-related concerns</w:t>
      </w:r>
    </w:p>
    <w:p>
      <w:pPr/>
      <w:r>
        <w:rPr>
          <w:rFonts w:ascii="Times New Roman" w:hAnsi="Times New Roman" w:eastAsia="Times New Roman" w:cs="Times New Roman"/>
          <w:sz w:val="24"/>
        </w:rPr>
        <w:t>Be well-versed in how the board of directors and management are addressing ESP-related concerns and able to communicate the steps the company has taken to address them</w:t>
      </w:r>
    </w:p>
    <w:p>
      <w:pPr/>
      <w:r>
        <w:rPr>
          <w:rFonts w:ascii="Times New Roman" w:hAnsi="Times New Roman" w:eastAsia="Times New Roman" w:cs="Times New Roman"/>
          <w:sz w:val="24"/>
        </w:rPr>
        <w:t>Avoid Regulation FD violations by refraining from selective disclosure of material non-public information</w:t>
      </w:r>
    </w:p>
    <w:p>
      <w:pPr/>
      <w:r>
        <w:rPr>
          <w:rFonts w:ascii="Times New Roman" w:hAnsi="Times New Roman" w:eastAsia="Times New Roman" w:cs="Times New Roman"/>
          <w:sz w:val="24"/>
        </w:rPr>
        <w:t>The IR team or contact should work with the Company’s counsel on ESP-related disclosures that keep investors informed while complying with the regulatory requirements governing those disclosures.</w:t>
      </w:r>
    </w:p>
    <w:p>
      <w:pPr/>
      <w:r>
        <w:rPr>
          <w:rFonts w:ascii="Times New Roman" w:hAnsi="Times New Roman" w:eastAsia="Times New Roman" w:cs="Times New Roman"/>
          <w:b/>
          <w:sz w:val="24"/>
        </w:rPr>
        <w:t>Periodic reports on [Form 10-K or Form 10-Q]</w:t>
      </w:r>
      <w:r>
        <w:rPr>
          <w:rFonts w:ascii="Times New Roman" w:hAnsi="Times New Roman" w:eastAsia="Times New Roman" w:cs="Times New Roman"/>
          <w:sz w:val="24"/>
        </w:rPr>
        <w:t>: in these forms, ESP-related disclosures will primarily take the form of risk factor disclosure. If material, the progress of a given initiative relevant to ESP concerns, such as [an initiative to use only certified carbon-neutral energy sources in production by a given date], may be disclosed.</w:t>
      </w:r>
    </w:p>
    <w:p>
      <w:pPr/>
      <w:r>
        <w:rPr>
          <w:rFonts w:ascii="Times New Roman" w:hAnsi="Times New Roman" w:eastAsia="Times New Roman" w:cs="Times New Roman"/>
          <w:b/>
          <w:sz w:val="24"/>
        </w:rPr>
        <w:t>Proxy statements</w:t>
      </w:r>
      <w:r>
        <w:rPr>
          <w:rFonts w:ascii="Times New Roman" w:hAnsi="Times New Roman" w:eastAsia="Times New Roman" w:cs="Times New Roman"/>
          <w:sz w:val="24"/>
        </w:rPr>
        <w:t xml:space="preserve">: disclosures in proxy materials will primarily relate to shareholder proposals and the election of directors, each of which may be ESP-related. </w:t>
      </w:r>
    </w:p>
    <w:p>
      <w:pPr/>
      <w:r>
        <w:rPr>
          <w:rFonts w:ascii="Times New Roman" w:hAnsi="Times New Roman" w:eastAsia="Times New Roman" w:cs="Times New Roman"/>
          <w:b/>
          <w:sz w:val="24"/>
        </w:rPr>
        <w:t>Voluntary reports, press releases, newsletters, social media, and other communications</w:t>
      </w:r>
      <w:r>
        <w:rPr>
          <w:rFonts w:ascii="Times New Roman" w:hAnsi="Times New Roman" w:eastAsia="Times New Roman" w:cs="Times New Roman"/>
          <w:sz w:val="24"/>
        </w:rPr>
        <w:t>: these are good venues for the Company to highlight its successes, affirm its values, and shape the conversation around its actions. Many companies voluntarily release sustainability reports, diversity reports, and other metrics highlighting their commitment to ESP issues. Although these communications are less formal than disclosures made in periodic reports and proxy statements, it is essential that proper internal controls are observed prior to release.</w:t>
      </w:r>
    </w:p>
    <w:p>
      <w:pPr/>
      <w:r>
        <w:rPr>
          <w:rFonts w:ascii="Times New Roman" w:hAnsi="Times New Roman" w:eastAsia="Times New Roman" w:cs="Times New Roman"/>
          <w:sz w:val="24"/>
        </w:rPr>
        <w:t xml:space="preserve">B. </w:t>
      </w:r>
      <w:r>
        <w:rPr>
          <w:rFonts w:ascii="Times New Roman" w:hAnsi="Times New Roman" w:eastAsia="Times New Roman" w:cs="Times New Roman"/>
          <w:sz w:val="24"/>
        </w:rPr>
        <w:t>Responsibilities of the Board of Directors and Management</w:t>
      </w:r>
    </w:p>
    <w:p>
      <w:pPr/>
      <w:r>
        <w:rPr>
          <w:rFonts w:ascii="Times New Roman" w:hAnsi="Times New Roman" w:eastAsia="Times New Roman" w:cs="Times New Roman"/>
          <w:sz w:val="24"/>
        </w:rPr>
        <w:t>The IR team will need to have the ear of the Board and Company management with respect to ESP issues. The Board, the Chief Executive Officer, and other shareholder-facing management should receive reports on ESP issues from the IR team, help to shape the Company’s talking points around them, and be prepared to answer questions from the media and from shareholders directly on these issues. This will help</w:t>
      </w:r>
      <w:r>
        <w:rPr>
          <w:rFonts w:ascii="Times New Roman" w:hAnsi="Times New Roman" w:eastAsia="Times New Roman" w:cs="Times New Roman"/>
          <w:sz w:val="24"/>
        </w:rPr>
        <w:t xml:space="preserve"> the Board and management set the “tone at the top”</w:t>
      </w:r>
      <w:r>
        <w:rPr>
          <w:rFonts w:ascii="Times New Roman" w:hAnsi="Times New Roman" w:eastAsia="Times New Roman" w:cs="Times New Roman"/>
          <w:sz w:val="24"/>
        </w:rPr>
        <w:t xml:space="preserve"> as one that is not merely reactive to ESP issues, but one which is proactive, informed, and engaged in addressing them in a meaningful way.</w:t>
      </w:r>
    </w:p>
    <w:p>
      <w:pPr/>
      <w:r>
        <w:rPr>
          <w:rFonts w:ascii="Times New Roman" w:hAnsi="Times New Roman" w:eastAsia="Times New Roman" w:cs="Times New Roman"/>
          <w:sz w:val="24"/>
        </w:rPr>
        <w:t>Direct experience by Board members with ESP issues faced by the Company will inspire trust and confidence in shareholders and make communications easier. The Board should consider modifying the criteria it uses to evaluate candidates for Board membership to emphasize experience with ESP issues; evaluate its current level of ESP experience; and take a proactive posture toward addressing, whether through board consultants or independent audits of ESP issues, any experience gaps which activist investors may highlight when submitting a competing slate of directors.</w:t>
      </w:r>
    </w:p>
    <w:p>
      <w:pPr/>
      <w:r>
        <w:rPr>
          <w:rFonts w:ascii="Times New Roman" w:hAnsi="Times New Roman" w:eastAsia="Times New Roman" w:cs="Times New Roman"/>
          <w:sz w:val="24"/>
        </w:rPr>
        <w:t>In addition, the Board, or a committee thereof, should review all internal policies, such as hiring policies and parental leave policies, and employee handbooks for ESP issues, as well as internal controls for preventing and reporting violations of such policies.</w:t>
      </w:r>
    </w:p>
    <w:p>
      <w:pPr/>
      <w:r>
        <w:rPr>
          <w:rFonts w:ascii="Times New Roman" w:hAnsi="Times New Roman" w:eastAsia="Times New Roman" w:cs="Times New Roman"/>
          <w:sz w:val="24"/>
        </w:rPr>
        <w:t>[I am/We are] always available to provide further assistance to the Board with respect to these issues. For further information, or if you have any questions or concerns, please contact [</w:t>
      </w:r>
      <w:r>
        <w:rPr>
          <w:rFonts w:ascii="Times New Roman" w:hAnsi="Times New Roman" w:eastAsia="Times New Roman" w:cs="Times New Roman"/>
          <w:sz w:val="24"/>
        </w:rPr>
        <w:t>name</w:t>
      </w:r>
      <w:r>
        <w:rPr>
          <w:rFonts w:ascii="Times New Roman" w:hAnsi="Times New Roman" w:eastAsia="Times New Roman" w:cs="Times New Roman"/>
          <w:sz w:val="24"/>
        </w:rPr>
        <w:t>], [</w:t>
      </w:r>
      <w:r>
        <w:rPr>
          <w:rFonts w:ascii="Times New Roman" w:hAnsi="Times New Roman" w:eastAsia="Times New Roman" w:cs="Times New Roman"/>
          <w:sz w:val="24"/>
        </w:rPr>
        <w:t>title</w:t>
      </w:r>
      <w:r>
        <w:rPr>
          <w:rFonts w:ascii="Times New Roman" w:hAnsi="Times New Roman" w:eastAsia="Times New Roman" w:cs="Times New Roman"/>
          <w:sz w:val="24"/>
        </w:rPr>
        <w:t>] at [</w:t>
      </w:r>
      <w:r>
        <w:rPr>
          <w:rFonts w:ascii="Times New Roman" w:hAnsi="Times New Roman" w:eastAsia="Times New Roman" w:cs="Times New Roman"/>
          <w:sz w:val="24"/>
        </w:rPr>
        <w:t>phone number</w:t>
      </w:r>
      <w:r>
        <w:rPr>
          <w:rFonts w:ascii="Times New Roman" w:hAnsi="Times New Roman" w:eastAsia="Times New Roman" w:cs="Times New Roman"/>
          <w:sz w:val="24"/>
        </w:rPr>
        <w:t>] or by email at [</w:t>
      </w:r>
      <w:r>
        <w:rPr>
          <w:rFonts w:ascii="Times New Roman" w:hAnsi="Times New Roman" w:eastAsia="Times New Roman" w:cs="Times New Roman"/>
          <w:sz w:val="24"/>
        </w:rPr>
        <w:t>email address</w:t>
      </w:r>
      <w:r>
        <w:rPr>
          <w:rFonts w:ascii="Times New Roman" w:hAnsi="Times New Roman" w:eastAsia="Times New Roman" w:cs="Times New Roman"/>
          <w:sz w:val="24"/>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