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 Resolution: Shareholders with Preemptive Rights Authorizing Issuance of Options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Upon motion duly made, seconded, and carried, the following resolution was adopted by the affirmative votes of shareholders representing [number] shares, being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 thereon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exercise preemptive rights with respect to shares to be issued by [name of company] to the directors, officers, and employees of the corporation or its subsidiaries or affiliates: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this corporation issue rights or options to its directors, officers, and employees or to the directors, officers, and employees of its subsidiaries or affiliates,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to have such persons service or continue to service the corporation or its subsidiaries or affiliates, entitling the holders thereof to purchase from this corporation shares of any class or series, whether authorized but unissued shares, treasury shares, or shares to be purchased or acquired, for the following consideration and upon the following terms and conditions: [set forth any and all applicable terms and conditions with respect to the options being approved by the shareholders,] ; and further</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preemptive rights of shareholders entitled thereto in said shares be and the same are hereby released.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We [name] and [name], [Vice-President] and [Secretary] of [name of company], HEREBY CERTIFY that the foregoing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correct copy of resolutions adopted at the Meeting of Shareholders held on [date] by vote of the holders of more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entitled to vote and to exercise preemptive rights.</w:t>
      </w:r>
    </w:p>
    <w:p>
      <w:pPr>
        <w:keepNext w:val="0"/>
        <w:spacing w:before="20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200" w:after="0" w:line="260" w:lineRule="exact"/>
        <w:ind w:left="360" w:right="0" w:firstLine="0"/>
        <w:jc w:val="right"/>
      </w:pPr>
      <w:r>
        <w:rPr>
          <w:rFonts w:ascii="Times New Roman" w:hAnsi="Times New Roman" w:eastAsia="Times New Roman" w:cs="Times New Roman"/>
          <w:b w:val="0"/>
          <w:sz w:val="24"/>
        </w:rPr>
        <w:t>Vice-President</w:t>
      </w:r>
    </w:p>
    <w:p>
      <w:pPr>
        <w:keepNext w:val="0"/>
        <w:spacing w:before="200" w:after="0" w:line="260" w:lineRule="exact"/>
        <w:ind w:left="360" w:right="0" w:firstLine="0"/>
        <w:jc w:val="right"/>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w:t>
      </w:r>
      <w:r>
        <w:rPr>
          <w:rFonts w:ascii="Times New Roman" w:hAnsi="Times New Roman" w:eastAsia="Times New Roman" w:cs="Times New Roman"/>
          <w:b w:val="0"/>
          <w:sz w:val="24"/>
        </w:rPr>
        <w:t>)</w:t>
      </w:r>
    </w:p>
    <w:p>
      <w:pPr>
        <w:keepNext w:val="0"/>
        <w:spacing w:before="200" w:after="0" w:line="260" w:lineRule="exact"/>
        <w:ind w:left="360" w:right="0" w:firstLine="0"/>
        <w:jc w:val="right"/>
      </w:pPr>
      <w:r>
        <w:rPr>
          <w:rFonts w:ascii="Times New Roman" w:hAnsi="Times New Roman" w:eastAsia="Times New Roman" w:cs="Times New Roman"/>
          <w:b w:val="0"/>
          <w:sz w:val="24"/>
        </w:rPr>
        <w:t>Secretary</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