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Shareholder Rights Plan Policy</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For the purposes of this policy,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refers to any plan providing for the distribution of rights, warrants, options, equity or debt instruments to eligible company shareholders upon the third-party acquisition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specified percentage of company securities.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will only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after obtaining prior shareholder approval; provided, however, that the Board may act on its own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rights plan without first submitting it for shareholder approval if the Board, in the exercise of its fiduciary duties, determines that the circumstances then existing and the best interests of the Company require that the Board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without delay.</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Board adopts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rights plan without first receiving shareholder approval, such plan must provide for automatic termination within one year unless ratified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shareholders. If submitted by the Board for shareholder ratification, failure to obtain support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casts shall result in immediate termination of the shareholder rights plan.</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has directed the Corporate Governance and Nominating Committee to review this policy statement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basis and to report to the Board any recommendations it may have concerning the policy. Any such recommendations and any related action taken by the Board shall be reported to shareholders on the Company website.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