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Meeting Rules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fairness to all shareholders in attendance and in the interest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and constructive meeting, we require that you honor the following Rules and Procedures:</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cooperation.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Only shareholders of record or their duly appointed proxies are entitled to attend the Annual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broker or other nominee is the record owner of your shares, you will need to have proof that you are the beneficial owner of such shares to be admitted to the Annual Meeting.</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conduct the Annual Meeting in the order set forth in the Agenda provided to all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corporation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notice by-law dealing with director nominations, use the following rule:] We will consider only those shareholder proposals and nominations submitted in accordance with the By-laws. [If the corporation does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notice by-law dealing with director nominations, use the following rule:] Nominations from the floor for membership on the Board will not be accepted unless the person nominated has given written consent to such nomination and agreed to serve if elected.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wish to address the meeting at the designated time, please proceed to the nearest microphone station. Upon being recognized by the chairman, please state your name clearly, your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holder, and present your question or comment.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limit your comments and questions to three minutes.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provide everyone with the opportunity to ask questions, questions will be limited to one per shareholder, unless time permits otherwise.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permit each speaker the courtesy of concluding his or her remarks without interruption.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views and comments of all shareholders are welcome. However, the purpose of the Annual Meeting will be observed and the Chairman reserves the right to stop irrelevant discussions and proposals that are related to the conduct of the Company's ordinary business operations.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use of unauthorized cameras, video equipment or other electronic devices at the Annual Meeting is not permitted. Please turn off cell phones, pagers, etc.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