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MINUTES OF SPECIAL MEETING OF THE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Louisiana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meeting was called to order by [name], the [title, e.g., President] of the Corporation for the purpose of approving the dissolution of the corporation, and notice of the meeting was [method of distribution, e.g., mailed] to all shareholders entitled to notice on [month] [day], [year].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[two thirds] of [each [class] [</w:t>
      </w:r>
      <w:r>
        <w:rPr>
          <w:rFonts w:ascii="Times New Roman" w:hAnsi="Times New Roman" w:eastAsia="Times New Roman" w:cs="Times New Roman"/>
          <w:b/>
          <w:sz w:val="24"/>
        </w:rPr>
        <w:t>OR</w:t>
      </w:r>
      <w:r>
        <w:rPr>
          <w:rFonts w:ascii="Times New Roman" w:hAnsi="Times New Roman" w:eastAsia="Times New Roman" w:cs="Times New Roman"/>
          <w:b w:val="0"/>
          <w:sz w:val="24"/>
        </w:rPr>
        <w:t>]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La. Rev. Stat. Ann. § 12:1-1402(B),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at any time after dissolution is authorized pursuant to La. Rev. Stat. Ann. § 12:1-1402(B), the corporation may file articles of dissolution with the Secretary of State of Louisiana containing the information required by La. Rev. Stat. Ann. § 12:1-1403(</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being no further business, on motion duly made, seconded and carried, the Chairman declared the meeting adjourned.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