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SPECIAL MEETING OF THE SHAREHOLDERS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20__]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[month day, 20__].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360" w:right="0" w:firstLine="0"/>
        <w:jc w:val="left"/>
      </w:pP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360" w:right="0" w:firstLine="0"/>
        <w:jc w:val="left"/>
      </w:pP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360" w:right="0" w:firstLine="0"/>
        <w:jc w:val="left"/>
      </w:pP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dissolve the Corporation. After discussion of the proposal and on motion duly made, seconded, and carried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have determined that it is in the best interest of the Corporation that the Corporation be liquidated, dissolved, and wound up [in accordance with the Plan of Dissolution attached hereto as Exhibit ____ (the “</w:t>
      </w:r>
      <w:r>
        <w:rPr>
          <w:rFonts w:ascii="Times New Roman" w:hAnsi="Times New Roman" w:eastAsia="Times New Roman" w:cs="Times New Roman"/>
          <w:b/>
          <w:sz w:val="24"/>
        </w:rPr>
        <w:t>Plan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N.Y. Bus. Corp. Law § 1001,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as soon as (i) the obligations of the Corporation have been paid or otherwise discharged and (ii) the assets of the Corporation have been distributed[, in each case in conformity with the Plan], the officers and directors of the Corporation, and each of them with full authority to act without others, are hereby authorized and directed to sign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Department of State of New York as required by N.Y. Bus. Corp. Law § 1001;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360" w:right="0" w:firstLine="0"/>
        <w:jc w:val="left"/>
      </w:pP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