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Pennsylvania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20__]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[month day, 20__].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36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36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360" w:right="0" w:firstLine="0"/>
        <w:jc w:val="left"/>
      </w:pP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recommending dissolution of the Corporation. After discussion of the proposal and on motion duly made, seconded, and carried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[each [class] [</w:t>
      </w:r>
      <w:r>
        <w:rPr>
          <w:rFonts w:ascii="Times New Roman" w:hAnsi="Times New Roman" w:eastAsia="Times New Roman" w:cs="Times New Roman"/>
          <w:b/>
          <w:sz w:val="24"/>
        </w:rPr>
        <w:t>OR</w:t>
      </w:r>
      <w:r>
        <w:rPr>
          <w:rFonts w:ascii="Times New Roman" w:hAnsi="Times New Roman" w:eastAsia="Times New Roman" w:cs="Times New Roman"/>
          <w:b w:val="0"/>
          <w:sz w:val="24"/>
        </w:rPr>
        <w:t>] [series]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 [pursuant to [15 Pa.C.S. § 1975] [</w:t>
      </w:r>
      <w:r>
        <w:rPr>
          <w:rFonts w:ascii="Times New Roman" w:hAnsi="Times New Roman" w:eastAsia="Times New Roman" w:cs="Times New Roman"/>
          <w:b/>
          <w:sz w:val="24"/>
        </w:rPr>
        <w:t>OR</w:t>
      </w:r>
      <w:r>
        <w:rPr>
          <w:rFonts w:ascii="Times New Roman" w:hAnsi="Times New Roman" w:eastAsia="Times New Roman" w:cs="Times New Roman"/>
          <w:b w:val="0"/>
          <w:sz w:val="24"/>
        </w:rPr>
        <w:t>] [Subchapter H of Title 15 (15 Pa.C.S. § 1991 et seq.]];</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recommending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 xml:space="preserve">”)]; and </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15 Pa.C.S. § 1972,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articles of dissolution with the Department of State of Pennsylvania as required by 15 Pa.C.S. § 1977;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360" w:right="0" w:firstLine="0"/>
        <w:jc w:val="left"/>
      </w:pP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