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Tennessee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meeting was called to order by [name], the [title, e.g., President] of the Corporation for the purpose of approving the dissolution of the corporation, and notice of the meeting was [method of distribution, e.g., mailed] to all shareholders entitled to notice on [month] [day], [year].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[two thirds] of [each [class] [</w:t>
      </w:r>
      <w:r>
        <w:rPr>
          <w:rFonts w:ascii="Times New Roman" w:hAnsi="Times New Roman" w:eastAsia="Times New Roman" w:cs="Times New Roman"/>
          <w:b/>
          <w:sz w:val="24"/>
        </w:rPr>
        <w:t>OR</w:t>
      </w:r>
      <w:r>
        <w:rPr>
          <w:rFonts w:ascii="Times New Roman" w:hAnsi="Times New Roman" w:eastAsia="Times New Roman" w:cs="Times New Roman"/>
          <w:b w:val="0"/>
          <w:sz w:val="24"/>
        </w:rPr>
        <w:t>] [series]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Tenn. Code Ann. § 48-24-102(c),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articles of dissolution with the Secretary of State of Tennessee as required by Tenn. Code Ann. § 48-24-103;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being no further business, on motion duly made, seconded and carried, the Chairman declared the meeting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