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Resolution on Dissolution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WHEREAS, the Corporation’s Board of Directors has determined that it is in the best interest of the Corporation that the Corporation be wound up and dissolved; and WHEREAS, the Shareholders concur that it is in the best interest of the Corporation that the Corporation be wound up and dissolved.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NOW, THEREFORE, BE IT RESOLVED, that the Shareholders hereby elect to wind up and dissolve the Corporation pursuant to the Plan of Complete Liquidation,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“Plan”),</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as soon as the assets of the Corporation have been distributed in conformity with the Plan, that the officers and directors of the Corporation, and each of them with full authority to act without others, are authorized and directed to sign, verify, and file the certificates and give the written notice required by Sections 1901(</w:t>
      </w:r>
      <w:r>
        <w:rPr>
          <w:rFonts w:ascii="Times New Roman" w:hAnsi="Times New Roman" w:eastAsia="Times New Roman" w:cs="Times New Roman"/>
          <w:b/>
          <w:sz w:val="24"/>
        </w:rPr>
        <w:t>a</w:t>
      </w:r>
      <w:r>
        <w:rPr>
          <w:rFonts w:ascii="Times New Roman" w:hAnsi="Times New Roman" w:eastAsia="Times New Roman" w:cs="Times New Roman"/>
          <w:b w:val="0"/>
          <w:sz w:val="24"/>
        </w:rPr>
        <w:t>), 1903(c), and 1905(</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of the California General Corporation Law, including filing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Dissolution with the California Secretary of State; and</w:t>
      </w:r>
    </w:p>
    <w:p>
      <w:pPr>
        <w:keepNext w:val="0"/>
        <w:spacing w:before="200" w:after="0" w:line="260" w:lineRule="exact"/>
        <w:ind w:left="360" w:right="0" w:firstLine="0"/>
        <w:jc w:val="both"/>
      </w:pPr>
      <w:r>
        <w:rPr>
          <w:rFonts w:ascii="Times New Roman" w:hAnsi="Times New Roman" w:eastAsia="Times New Roman" w:cs="Times New Roman"/>
          <w:b w:val="0"/>
          <w:sz w:val="24"/>
        </w:rPr>
        <w:t>RESOLVED, FURTHER, that the officers and directors of the Corporation, and each of them with full authority to act without the others, are authorized and directed to execute and deliver any applications, certificates, agreements, memorandums and/or any other instruments or documents or amendments or supplements thereto and to do or to cause to be done any and all other acts and things as such officers and each of them may, in their discretion, deem necessary or advisable and appropriate to carry out the purposes of the foregoing resolutions and matters incidental thereto, and any action taken by the officers and directors of the Corporation prior to the date of these resolutions that is otherwise within or related to the authority set forth by these resolutions be, and hereby is, ratified, confirmed and approved in all respects.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[Attach Plan of Complete Liquidation]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