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Resolutions on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Board of Directors of [name of social purpose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social purpose corporation (the “Corporation”), has determined that it is in the best interest of the Corporation that the Corporation be wound up and dissolved;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shareholders of the Corporation (the “Shareholders”) concur that it is in the best interest of the Corporation that the Corporation be wound up and dissolved.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Shareholders hereby elect to wind up and dissolve the Corporation pursuant to the Plan of Complete Liquidation,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“Plan”).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as soon as the assets of the Corporation have been distributed in conformity with the Plan, that the officers and directors of the Corporation, and each of them with full authority to act without others, are authorized and directed to sign, verify, and file the certificates and give the written notice required by Sections 1901(</w:t>
      </w:r>
      <w:r>
        <w:rPr>
          <w:rFonts w:ascii="Times New Roman" w:hAnsi="Times New Roman" w:eastAsia="Times New Roman" w:cs="Times New Roman"/>
          <w:b/>
          <w:sz w:val="24"/>
        </w:rPr>
        <w:t>a</w:t>
      </w:r>
      <w:r>
        <w:rPr>
          <w:rFonts w:ascii="Times New Roman" w:hAnsi="Times New Roman" w:eastAsia="Times New Roman" w:cs="Times New Roman"/>
          <w:b w:val="0"/>
          <w:sz w:val="24"/>
        </w:rPr>
        <w:t>), 1903(c), and 1905(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California General Corporation Law,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California Secretary of State;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and directors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[Attach Plan of Complete Liquidation]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