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SOUTH CAROLINA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hereby designate</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 </w:t>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2. </w:t>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4. </w:t>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5. </w:t>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6. </w:t>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7. </w:t>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8. </w:t>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9. </w:t>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[DESCRIBE ADDITIONAL POWERS IF ANY]</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South Carolina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 POWER OF ATTORNEY BECOMES EFFECTIVE]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On the following date </w:t>
      </w:r>
      <w:r>
        <w:rPr>
          <w:rFonts w:ascii="Times New Roman" w:hAnsi="Times New Roman" w:eastAsia="Times New Roman" w:cs="Times New Roman"/>
          <w:sz w:val="24"/>
        </w:rPr>
        <w:t>[DATE POWER OF ATTORNEY SHALL END]</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__________________________</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 OF WITNESS 1]</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 OF WITNESS 2]</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SOUTH CAROLINA</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