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Special Circumstances Entitling Buyer to Recover Consequential Damages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[seller’s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This is to advise you that [buyer name] (“Buyer”) likely will formally accept your offer [description of transaction, e.g., to repair our boiler by {date}] pursuant to the terms contained in your [name of applicable offer document, e.g., memorandum offer] dated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Buyer wishes to advise you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and special circumstance that renders timely performance of the proposed transaction critically important. Time is of the essence and if [describe as applicable, e.g., the replacement parts are not received by the date promised], Buyer will lose in excess of $[amount] per day in profits,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conservative estimate. This estimate is based on the fact that Buyer has no alternative source for these parts. Consequently, absent timely completion, Buyer will be forced to shut down its plant which is the source of the aforementioned revenue/profits. We will gladly furnish evidentiary proof that such losses are reasonably anticipated.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advise your company of this special circumstance so that you are aware that performance in strict compliance with all terms of the contract between our companies is essential and we regard the timely completion of said services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term of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Yours truly,</w:t>
      </w:r>
    </w:p>
    <w:p>
      <w:pPr>
        <w:keepNext w:val="0"/>
        <w:spacing w:before="120" w:after="0" w:line="260" w:lineRule="exact"/>
        <w:ind w:left="360" w:right="0" w:firstLine="0"/>
        <w:jc w:val="left"/>
      </w:pPr>
      <w:r>
        <w:rPr>
          <w:rFonts w:ascii="Times New Roman" w:hAnsi="Times New Roman" w:eastAsia="Times New Roman" w:cs="Times New Roman"/>
          <w:b w:val="0"/>
          <w:sz w:val="24"/>
        </w:rPr>
        <w:t>[buyer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