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UNITED STATES</w:t>
      </w:r>
    </w:p>
    <w:p>
      <w:pPr>
        <w:jc w:val="center"/>
      </w:pPr>
      <w:r>
        <w:rPr>
          <w:rFonts w:ascii="Times New Roman" w:hAnsi="Times New Roman" w:eastAsia="Times New Roman" w:cs="Times New Roman"/>
          <w:b/>
          <w:sz w:val="24"/>
        </w:rPr>
        <w:t>SECURITIES AND EXCHANGE COMMISSION</w:t>
      </w:r>
    </w:p>
    <w:p>
      <w:pPr>
        <w:jc w:val="center"/>
      </w:pPr>
      <w:r>
        <w:rPr>
          <w:rFonts w:ascii="Times New Roman" w:hAnsi="Times New Roman" w:eastAsia="Times New Roman" w:cs="Times New Roman"/>
          <w:b/>
          <w:sz w:val="24"/>
        </w:rPr>
        <w:t>Washington, D.C. 20549</w:t>
      </w:r>
    </w:p>
    <w:p>
      <w:pPr>
        <w:jc w:val="center"/>
      </w:pPr>
      <w:r>
        <w:rPr>
          <w:rFonts w:ascii="Times New Roman" w:hAnsi="Times New Roman" w:eastAsia="Times New Roman" w:cs="Times New Roman"/>
          <w:b/>
          <w:sz w:val="24"/>
        </w:rPr>
        <w:t>FORM 8-K</w:t>
      </w:r>
    </w:p>
    <w:p>
      <w:pPr>
        <w:jc w:val="center"/>
      </w:pPr>
      <w:r>
        <w:rPr>
          <w:rFonts w:ascii="Times New Roman" w:hAnsi="Times New Roman" w:eastAsia="Times New Roman" w:cs="Times New Roman"/>
          <w:b/>
          <w:sz w:val="24"/>
        </w:rPr>
        <w:t>CURRENT REPORT</w:t>
      </w:r>
    </w:p>
    <w:p>
      <w:pPr>
        <w:jc w:val="center"/>
      </w:pPr>
      <w:r>
        <w:rPr>
          <w:rFonts w:ascii="Times New Roman" w:hAnsi="Times New Roman" w:eastAsia="Times New Roman" w:cs="Times New Roman"/>
          <w:b/>
          <w:sz w:val="24"/>
        </w:rPr>
        <w:t>Pursuant to Section 13 or 15(d) of the Securities Exchange Act of 1934</w:t>
      </w:r>
    </w:p>
    <w:p>
      <w:pPr>
        <w:jc w:val="center"/>
      </w:pPr>
      <w:r>
        <w:rPr>
          <w:rFonts w:ascii="Times New Roman" w:hAnsi="Times New Roman" w:eastAsia="Times New Roman" w:cs="Times New Roman"/>
          <w:b/>
          <w:sz w:val="24"/>
        </w:rPr>
        <w:t>Date of Report (Date of earliest event reported):</w:t>
      </w:r>
      <w:r>
        <w:rPr>
          <w:rFonts w:ascii="Times New Roman" w:hAnsi="Times New Roman" w:eastAsia="Times New Roman" w:cs="Times New Roman"/>
          <w:sz w:val="24"/>
        </w:rPr>
        <w:t xml:space="preserve"> [Date]</w:t>
      </w:r>
    </w:p>
    <w:p>
      <w:pPr>
        <w:jc w:val="center"/>
      </w:pPr>
      <w:r>
        <w:rPr>
          <w:rFonts w:ascii="Times New Roman" w:hAnsi="Times New Roman" w:eastAsia="Times New Roman" w:cs="Times New Roman"/>
          <w:b/>
          <w:sz w:val="24"/>
        </w:rPr>
        <w:t>[COMPANY NAME]</w:t>
      </w:r>
    </w:p>
    <w:p>
      <w:pPr>
        <w:jc w:val="center"/>
      </w:pPr>
      <w:r>
        <w:rPr>
          <w:rFonts w:ascii="Times New Roman" w:hAnsi="Times New Roman" w:eastAsia="Times New Roman" w:cs="Times New Roman"/>
          <w:sz w:val="24"/>
        </w:rPr>
        <w:t>(Exact name of registrant as specified in its charter)</w:t>
      </w:r>
    </w:p>
    <w:p>
      <w:pPr/>
    </w:p>
    <w:p>
      <w:pPr>
        <w:jc w:val="center"/>
      </w:pPr>
      <w:r>
        <w:rPr>
          <w:rFonts w:ascii="Times New Roman" w:hAnsi="Times New Roman" w:eastAsia="Times New Roman" w:cs="Times New Roman"/>
          <w:sz w:val="24"/>
        </w:rPr>
        <w:t>Registrant's telephone number, including area code: ____________________</w:t>
      </w:r>
    </w:p>
    <w:p>
      <w:pPr>
        <w:jc w:val="center"/>
      </w:pPr>
      <w:r>
        <w:rPr>
          <w:rFonts w:ascii="Times New Roman" w:hAnsi="Times New Roman" w:eastAsia="Times New Roman" w:cs="Times New Roman"/>
          <w:sz w:val="24"/>
        </w:rPr>
        <w:t>__________________________________________________________________</w:t>
      </w:r>
    </w:p>
    <w:p>
      <w:pPr>
        <w:jc w:val="center"/>
      </w:pPr>
      <w:r>
        <w:rPr>
          <w:rFonts w:ascii="Times New Roman" w:hAnsi="Times New Roman" w:eastAsia="Times New Roman" w:cs="Times New Roman"/>
          <w:sz w:val="24"/>
        </w:rPr>
        <w:t>(Former name or former address, if changed since the last report.)</w:t>
      </w:r>
    </w:p>
    <w:p>
      <w:pPr/>
      <w:r>
        <w:rPr>
          <w:rFonts w:ascii="Times New Roman" w:hAnsi="Times New Roman" w:eastAsia="Times New Roman" w:cs="Times New Roman"/>
          <w:sz w:val="24"/>
        </w:rPr>
        <w:t>Check the appropriate box below if the Form 8-K filing is intended to simultaneously satisfy the filing obligation of the registrant under any of the following provisions:</w:t>
      </w:r>
    </w:p>
    <w:p>
      <w:pPr/>
      <w:r>
        <w:rPr>
          <w:rFonts w:ascii="Times New Roman" w:hAnsi="Times New Roman" w:eastAsia="Times New Roman" w:cs="Times New Roman"/>
          <w:sz w:val="24"/>
        </w:rPr>
        <w:t>[ ] Written communications pursuant to Rule 425 under the Securities Act (17 C.F.R. § 230.425)</w:t>
      </w:r>
    </w:p>
    <w:p>
      <w:pPr/>
      <w:r>
        <w:rPr>
          <w:rFonts w:ascii="Times New Roman" w:hAnsi="Times New Roman" w:eastAsia="Times New Roman" w:cs="Times New Roman"/>
          <w:sz w:val="24"/>
        </w:rPr>
        <w:t>[ ] Soliciting material pursuant to Rule 14a-12 under the Exchange Act (17 C.F.R. § 240.14a-12)</w:t>
      </w:r>
    </w:p>
    <w:p>
      <w:pPr/>
      <w:r>
        <w:rPr>
          <w:rFonts w:ascii="Times New Roman" w:hAnsi="Times New Roman" w:eastAsia="Times New Roman" w:cs="Times New Roman"/>
          <w:sz w:val="24"/>
        </w:rPr>
        <w:t>[ ] Pre-commencement communications pursuant to Rule 14d-2(b) under the Exchange Act (17 C.F.R. § 240.14d-2(b))</w:t>
      </w:r>
    </w:p>
    <w:p>
      <w:pPr/>
      <w:r>
        <w:rPr>
          <w:rFonts w:ascii="Times New Roman" w:hAnsi="Times New Roman" w:eastAsia="Times New Roman" w:cs="Times New Roman"/>
          <w:sz w:val="24"/>
        </w:rPr>
        <w:t>[ ] Pre-commencement communications pursuant to Rule 13e-4 (c) under the Exchange Act (17 C.F.R. § 240.13e-4(c))</w:t>
      </w:r>
    </w:p>
    <w:p>
      <w:pPr/>
      <w:r>
        <w:rPr>
          <w:rFonts w:ascii="Times New Roman" w:hAnsi="Times New Roman" w:eastAsia="Times New Roman" w:cs="Times New Roman"/>
          <w:sz w:val="24"/>
        </w:rPr>
        <w:t>Securities registered or to be registered pursuant to Section 12(b) of the Securities Exchange Act of 1934:</w:t>
      </w:r>
    </w:p>
    <w:p>
      <w:pPr>
        <w:jc w:val="both"/>
      </w:pPr>
      <w:r>
        <w:rPr>
          <w:rFonts w:ascii="Times New Roman" w:hAnsi="Times New Roman" w:eastAsia="Times New Roman" w:cs="Times New Roman"/>
          <w:sz w:val="24"/>
        </w:rPr>
        <w:t>Indicate by check mark whether the registrant is an emerging growth company as defined in Rule 405 of the Securities Act of 1933 (§ 230.405 of this chapter) or Rule 12b-2 of the Securities Exchange Act of 1934 (§ 240.12b-2 of this chapter). □</w:t>
      </w:r>
    </w:p>
    <w:p>
      <w:pPr>
        <w:jc w:val="right"/>
      </w:pPr>
      <w:r>
        <w:rPr>
          <w:rFonts w:ascii="Times New Roman" w:hAnsi="Times New Roman" w:eastAsia="Times New Roman" w:cs="Times New Roman"/>
          <w:sz w:val="24"/>
        </w:rPr>
        <w:t>Emerging growth company □</w:t>
      </w:r>
    </w:p>
    <w:p>
      <w:pPr>
        <w:jc w:val="both"/>
      </w:pPr>
      <w:r>
        <w:rPr>
          <w:rFonts w:ascii="Times New Roman" w:hAnsi="Times New Roman" w:eastAsia="Times New Roman" w:cs="Times New Roman"/>
          <w:sz w:val="24"/>
        </w:rPr>
        <w:t>If an emerging growth company, indicate by check mark if the registrant has elected not to use the extended transition period for complying with any new or revised financial accounting standards provided pursuant to Section 13(a) of the Exchange Act. □</w:t>
      </w:r>
    </w:p>
    <w:p>
      <w:pPr/>
      <w:r>
        <w:rPr>
          <w:rFonts w:ascii="Times New Roman" w:hAnsi="Times New Roman" w:eastAsia="Times New Roman" w:cs="Times New Roman"/>
          <w:sz w:val="24"/>
        </w:rPr>
        <w:t>Item 8.01 Other Events</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Name of </w:t>
      </w:r>
      <w:r>
        <w:rPr>
          <w:rFonts w:ascii="Times New Roman" w:hAnsi="Times New Roman" w:eastAsia="Times New Roman" w:cs="Times New Roman"/>
          <w:sz w:val="24"/>
        </w:rPr>
        <w:t>SPINCO] (the “Company”) previously filed with the Securities and Exchange Commission a registration statement on Form 10, initially filed on [</w:t>
      </w:r>
      <w:r>
        <w:rPr>
          <w:rFonts w:ascii="Times New Roman" w:hAnsi="Times New Roman" w:eastAsia="Times New Roman" w:cs="Times New Roman"/>
          <w:sz w:val="24"/>
        </w:rPr>
        <w:t>date</w:t>
      </w:r>
      <w:r>
        <w:rPr>
          <w:rFonts w:ascii="Times New Roman" w:hAnsi="Times New Roman" w:eastAsia="Times New Roman" w:cs="Times New Roman"/>
          <w:sz w:val="24"/>
        </w:rPr>
        <w:t>] ([as amended, ]the “Registration Statement”), relating to the separation of the Company from [</w:t>
      </w:r>
      <w:r>
        <w:rPr>
          <w:rFonts w:ascii="Times New Roman" w:hAnsi="Times New Roman" w:eastAsia="Times New Roman" w:cs="Times New Roman"/>
          <w:sz w:val="24"/>
        </w:rPr>
        <w:t>name of parent company</w:t>
      </w:r>
      <w:r>
        <w:rPr>
          <w:rFonts w:ascii="Times New Roman" w:hAnsi="Times New Roman" w:eastAsia="Times New Roman" w:cs="Times New Roman"/>
          <w:sz w:val="24"/>
        </w:rPr>
        <w:t>] (“[PARENTCO]”) by means of a spin-off. On [</w:t>
      </w:r>
      <w:r>
        <w:rPr>
          <w:rFonts w:ascii="Times New Roman" w:hAnsi="Times New Roman" w:eastAsia="Times New Roman" w:cs="Times New Roman"/>
          <w:sz w:val="24"/>
        </w:rPr>
        <w:t>date</w:t>
      </w:r>
      <w:r>
        <w:rPr>
          <w:rFonts w:ascii="Times New Roman" w:hAnsi="Times New Roman" w:eastAsia="Times New Roman" w:cs="Times New Roman"/>
          <w:sz w:val="24"/>
        </w:rPr>
        <w:t>], the Registration Statement was declared effective by the Securities and Exchange Commission (SEC). The Registration Statement includes an information statement that describes the separation and distribution, and provides important information regarding the Company’s business and management</w:t>
      </w:r>
      <w:r>
        <w:rPr>
          <w:rFonts w:ascii="Times New Roman" w:hAnsi="Times New Roman" w:eastAsia="Times New Roman" w:cs="Times New Roman"/>
          <w:sz w:val="24"/>
        </w:rPr>
        <w:t>.</w:t>
      </w:r>
    </w:p>
    <w:p>
      <w:pPr/>
      <w:r>
        <w:rPr>
          <w:rFonts w:ascii="Times New Roman" w:hAnsi="Times New Roman" w:eastAsia="Times New Roman" w:cs="Times New Roman"/>
          <w:sz w:val="24"/>
        </w:rPr>
        <w:t>As further described in the Registration Statement, the Company expects to distribute to [PARENTCO]’s shareholders [#] share[s] of Company common stock for every [#] share[s] of [PARENTCO] common stock they own as of 5:00 p.m. local New York City time on [</w:t>
      </w:r>
      <w:r>
        <w:rPr>
          <w:rFonts w:ascii="Times New Roman" w:hAnsi="Times New Roman" w:eastAsia="Times New Roman" w:cs="Times New Roman"/>
          <w:sz w:val="24"/>
        </w:rPr>
        <w:t>date</w:t>
      </w:r>
      <w:r>
        <w:rPr>
          <w:rFonts w:ascii="Times New Roman" w:hAnsi="Times New Roman" w:eastAsia="Times New Roman" w:cs="Times New Roman"/>
          <w:sz w:val="24"/>
        </w:rPr>
        <w:t>], the record date for the distribution. The distribution is expected to be effective at 12:01 a.m. local New York City time on [</w:t>
      </w:r>
      <w:r>
        <w:rPr>
          <w:rFonts w:ascii="Times New Roman" w:hAnsi="Times New Roman" w:eastAsia="Times New Roman" w:cs="Times New Roman"/>
          <w:sz w:val="24"/>
        </w:rPr>
        <w:t>date</w:t>
      </w:r>
      <w:r>
        <w:rPr>
          <w:rFonts w:ascii="Times New Roman" w:hAnsi="Times New Roman" w:eastAsia="Times New Roman" w:cs="Times New Roman"/>
          <w:sz w:val="24"/>
        </w:rPr>
        <w:t>]. Completion of the distribution is conditioned upon the satisfaction or waiver of certain conditions as set forth in the Separation and Distribution Agreement previously filed with the SEC</w:t>
      </w:r>
      <w:r>
        <w:rPr>
          <w:rFonts w:ascii="Times New Roman" w:hAnsi="Times New Roman" w:eastAsia="Times New Roman" w:cs="Times New Roman"/>
          <w:sz w:val="24"/>
        </w:rPr>
        <w:t>.</w:t>
      </w:r>
    </w:p>
    <w:p>
      <w:pPr/>
      <w:r>
        <w:rPr>
          <w:rFonts w:ascii="Times New Roman" w:hAnsi="Times New Roman" w:eastAsia="Times New Roman" w:cs="Times New Roman"/>
          <w:sz w:val="24"/>
        </w:rPr>
        <w:t>The Company’s press release is attached as Exhibit 99.1 and is incorporated herein by reference</w:t>
      </w:r>
      <w:r>
        <w:rPr>
          <w:rFonts w:ascii="Times New Roman" w:hAnsi="Times New Roman" w:eastAsia="Times New Roman" w:cs="Times New Roman"/>
          <w:sz w:val="24"/>
        </w:rPr>
        <w:t>.</w:t>
      </w:r>
    </w:p>
    <w:p>
      <w:pPr/>
      <w:r>
        <w:rPr>
          <w:rFonts w:ascii="Times New Roman" w:hAnsi="Times New Roman" w:eastAsia="Times New Roman" w:cs="Times New Roman"/>
          <w:sz w:val="24"/>
        </w:rPr>
        <w:t>Item 9.01 Financial Statements and Exhibits</w:t>
      </w:r>
    </w:p>
    <w:p>
      <w:pPr/>
      <w:r>
        <w:rPr>
          <w:rFonts w:ascii="Times New Roman" w:hAnsi="Times New Roman" w:eastAsia="Times New Roman" w:cs="Times New Roman"/>
          <w:b/>
          <w:sz w:val="24"/>
        </w:rPr>
        <w:t>(d) Exhibits</w:t>
      </w:r>
    </w:p>
    <w:p>
      <w:pPr>
        <w:jc w:val="both"/>
      </w:pPr>
      <w:r>
        <w:rPr>
          <w:rFonts w:ascii="Times New Roman" w:hAnsi="Times New Roman" w:eastAsia="Times New Roman" w:cs="Times New Roman"/>
          <w:sz w:val="24"/>
        </w:rPr>
        <w:t>The following exhibit is filed as part of this report</w:t>
      </w:r>
      <w:r>
        <w:rPr>
          <w:rFonts w:ascii="Times New Roman" w:hAnsi="Times New Roman" w:eastAsia="Times New Roman" w:cs="Times New Roman"/>
          <w:sz w:val="24"/>
        </w:rPr>
        <w:t>:</w:t>
      </w:r>
    </w:p>
    <w:p>
      <w:pPr>
        <w:jc w:val="both"/>
      </w:pPr>
    </w:p>
    <w:p>
      <w:pPr/>
    </w:p>
    <w:p>
      <w:pPr/>
    </w:p>
    <w:p>
      <w:pPr/>
      <w:r>
        <w:rPr>
          <w:rFonts w:ascii="Times New Roman" w:hAnsi="Times New Roman" w:eastAsia="Times New Roman" w:cs="Times New Roman"/>
          <w:sz w:val="24"/>
        </w:rPr>
        <w:t>Signatures</w:t>
      </w:r>
    </w:p>
    <w:p>
      <w:pPr/>
      <w:r>
        <w:rPr>
          <w:rFonts w:ascii="Times New Roman" w:hAnsi="Times New Roman" w:eastAsia="Times New Roman" w:cs="Times New Roman"/>
          <w:sz w:val="24"/>
        </w:rPr>
        <w:t>Pursuant to the requirements of the Securities Exchange Act of 1934, the Registrant has duly caused this report to be signed on its behalf by the undersigned thereunto duly authorized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w:t>
      </w:r>
      <w:r>
        <w:rPr>
          <w:rFonts w:ascii="Times New Roman" w:hAnsi="Times New Roman" w:eastAsia="Times New Roman" w:cs="Times New Roman"/>
          <w:sz w:val="24"/>
        </w:rPr>
        <w:t>Company</w:t>
      </w:r>
      <w:r>
        <w:rPr>
          <w:rFonts w:ascii="Times New Roman" w:hAnsi="Times New Roman" w:eastAsia="Times New Roman" w:cs="Times New Roman"/>
          <w:sz w:val="24"/>
        </w:rPr>
        <w:t>]</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