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Form of Press Release Announcing Effectiveness of Registration Statement on Form 10</w:t>
      </w:r>
    </w:p>
    <w:p>
      <w:pPr/>
      <w:r>
        <w:rPr>
          <w:rFonts w:ascii="Times New Roman" w:hAnsi="Times New Roman" w:eastAsia="Times New Roman" w:cs="Times New Roman"/>
          <w:sz w:val="24"/>
        </w:rPr>
        <w:t xml:space="preserve">Exhibit </w:t>
      </w:r>
      <w:r>
        <w:rPr>
          <w:rFonts w:ascii="Times New Roman" w:hAnsi="Times New Roman" w:eastAsia="Times New Roman" w:cs="Times New Roman"/>
          <w:sz w:val="24"/>
        </w:rPr>
        <w:t>99.1. [Name of Spin-off Subsidiary] Announces Effectiveness of the Form 10 Registration Statement.</w:t>
      </w:r>
    </w:p>
    <w:p>
      <w:pPr/>
      <w:r>
        <w:rPr>
          <w:rFonts w:ascii="Times New Roman" w:hAnsi="Times New Roman" w:eastAsia="Times New Roman" w:cs="Times New Roman"/>
          <w:sz w:val="24"/>
        </w:rPr>
        <w:t>[Name of spin-off subsidiary] (“[SPINCO]”) today announced that its Registration Statement on Form 10 has been declared effective by the Securities and Exchange Commission (SEC). The Form 10 includes information regarding [SPINCO]’s business and strategy as well as details on the spin-off, which is expected to be completed on [date].</w:t>
      </w:r>
    </w:p>
    <w:p>
      <w:pPr/>
      <w:r>
        <w:rPr>
          <w:rFonts w:ascii="Times New Roman" w:hAnsi="Times New Roman" w:eastAsia="Times New Roman" w:cs="Times New Roman"/>
          <w:sz w:val="24"/>
        </w:rPr>
        <w:t>“Today’s announcement of the Form 10 effectiveness marks the final regulatory milestone in our process to spin. [SPINCO] is separating as an independent, publicly traded company in a position of strength and with a clear roadmap to deliver long-term value for our shareholders,” said [SPINCO officer name], [chief executive officer] [elect] of [SPINCO].</w:t>
      </w:r>
    </w:p>
    <w:p>
      <w:pPr/>
      <w:r>
        <w:rPr>
          <w:rFonts w:ascii="Times New Roman" w:hAnsi="Times New Roman" w:eastAsia="Times New Roman" w:cs="Times New Roman"/>
          <w:sz w:val="24"/>
        </w:rPr>
        <w:t>The effectiveness of the Form 10 is one of the final milestones in the separation process. The separation remains subject to certain customary closing conditions including receiving [PARENTCO] shareholder approval. [applicable stock exchange] has authorized [SPINCO]’s common stock for listing and has advised that “when-issued” trading in [SPINCO] common stock on [applicable stock exchange] will begin on [date], under the symbol “[applicable SPINCO ticker]”. Following the spin-off, on [date], [SPINCO] common stock will begin “regular way” trading on [applicable stock exchange] under the symbol “[applicable SPINCO ticker]” and [PARENTCO] will continue trading under “[PARENTCO ticker]”.</w:t>
      </w:r>
    </w:p>
    <w:p>
      <w:pPr/>
      <w:r>
        <w:rPr>
          <w:rFonts w:ascii="Times New Roman" w:hAnsi="Times New Roman" w:eastAsia="Times New Roman" w:cs="Times New Roman"/>
          <w:sz w:val="24"/>
        </w:rPr>
        <w:t xml:space="preserve">The Form 10 provides important information on the business strategy, competitive strengths, and historical financial data of [SPINCO], among other details for the company. For more information, the Form 10 can be viewed at </w:t>
      </w:r>
      <w:r>
        <w:rPr>
          <w:rFonts w:ascii="Times New Roman" w:hAnsi="Times New Roman" w:eastAsia="Times New Roman" w:cs="Times New Roman"/>
          <w:sz w:val="24"/>
        </w:rPr>
        <w:t xml:space="preserve"> and the related information statement is available on [SPINCO]’s website at [SPINCO website URL].</w:t>
      </w:r>
    </w:p>
    <w:p>
      <w:pPr/>
      <w:r>
        <w:rPr>
          <w:rFonts w:ascii="Times New Roman" w:hAnsi="Times New Roman" w:eastAsia="Times New Roman" w:cs="Times New Roman"/>
          <w:sz w:val="24"/>
        </w:rPr>
        <w:t>About [SPINCO]</w:t>
      </w:r>
    </w:p>
    <w:p>
      <w:pPr/>
      <w:r>
        <w:rPr>
          <w:rFonts w:ascii="Times New Roman" w:hAnsi="Times New Roman" w:eastAsia="Times New Roman" w:cs="Times New Roman"/>
          <w:sz w:val="24"/>
        </w:rPr>
        <w:t xml:space="preserve">[SPINCO business description]. </w:t>
      </w:r>
      <w:r>
        <w:rPr>
          <w:rFonts w:ascii="Times New Roman" w:hAnsi="Times New Roman" w:eastAsia="Times New Roman" w:cs="Times New Roman"/>
          <w:sz w:val="24"/>
        </w:rPr>
        <w:t>More information can be found at [S</w:t>
      </w:r>
      <w:r>
        <w:rPr>
          <w:rFonts w:ascii="Times New Roman" w:hAnsi="Times New Roman" w:eastAsia="Times New Roman" w:cs="Times New Roman"/>
          <w:sz w:val="24"/>
        </w:rPr>
        <w:t xml:space="preserve">PINCO </w:t>
      </w:r>
      <w:r>
        <w:rPr>
          <w:rFonts w:ascii="Times New Roman" w:hAnsi="Times New Roman" w:eastAsia="Times New Roman" w:cs="Times New Roman"/>
          <w:sz w:val="24"/>
        </w:rPr>
        <w:t xml:space="preserve">website </w:t>
      </w:r>
      <w:r>
        <w:rPr>
          <w:rFonts w:ascii="Times New Roman" w:hAnsi="Times New Roman" w:eastAsia="Times New Roman" w:cs="Times New Roman"/>
          <w:sz w:val="24"/>
        </w:rPr>
        <w:t>URL]</w:t>
      </w:r>
      <w:r>
        <w:rPr>
          <w:rFonts w:ascii="Times New Roman" w:hAnsi="Times New Roman" w:eastAsia="Times New Roman" w:cs="Times New Roman"/>
          <w:sz w:val="24"/>
        </w:rPr>
        <w:t>.</w:t>
      </w:r>
    </w:p>
    <w:p>
      <w:pPr/>
      <w:r>
        <w:rPr>
          <w:rFonts w:ascii="Times New Roman" w:hAnsi="Times New Roman" w:eastAsia="Times New Roman" w:cs="Times New Roman"/>
          <w:sz w:val="24"/>
        </w:rPr>
        <w:t>Forward-Looking Statements</w:t>
      </w:r>
    </w:p>
    <w:p>
      <w:pPr/>
      <w:r>
        <w:rPr>
          <w:rFonts w:ascii="Times New Roman" w:hAnsi="Times New Roman" w:eastAsia="Times New Roman" w:cs="Times New Roman"/>
          <w:sz w:val="24"/>
        </w:rPr>
        <w:t xml:space="preserve">This communication contains “forward-looking statements” within the meaning of the federal securities laws, including Section 27A of the Securities Act of 1933, as amended, and Section 21E of the Securities Exchange Act of 1934, as amended. In this context, forward-looking statements often address expected future business and financial performance and financial condition, and often contain words such as “expect,” “anticipate,” “intend,” “plan,” “believe,” “seek,” “see,” “will,” “would,” “target,” and similar expressions and variations or negatives of these words. These forward-looking statements, which reflect management’s expectations regarding future events and operating performance and speak only as of the date of this press release. These forward-looking statements are not guarantees of future performance or events and are subject to a number of assumptions, risks and uncertainties, many of which are beyond our control, which could cause actual results and events to differ materially from such statements. Factors can be found in [SPINCO]’s filings with the Securities </w:t>
      </w:r>
      <w:r>
        <w:rPr>
          <w:rFonts w:ascii="Times New Roman" w:hAnsi="Times New Roman" w:eastAsia="Times New Roman" w:cs="Times New Roman"/>
          <w:sz w:val="24"/>
        </w:rPr>
        <w:t>and Exchange Commission, including the risk factors discussed in Exhibit 99.1 to the [SPINCO] Form 10, amendment number [#], filed on [date]. There can be no assurance that management’s expectations, beliefs, events, or projections will result or be achieved or accomplished. [SPINCO] undertakes no obligation to update or revise such forward-looking information, whether as a result of new information, future events or otherwise, except as may otherwise be required by law.</w:t>
      </w:r>
    </w:p>
    <w:p>
      <w:pPr/>
      <w:r>
        <w:rPr>
          <w:rFonts w:ascii="Times New Roman" w:hAnsi="Times New Roman" w:eastAsia="Times New Roman" w:cs="Times New Roman"/>
          <w:sz w:val="24"/>
        </w:rPr>
        <w:t>This announcement does not constitute an offer of securities for sale or a solicitation of an offer to purchase securities in any jurisdiction nor shall it (or any part of it) or the fact of its distribution, form the basis of, or be relied on in connection with, any contract therefor.</w:t>
      </w:r>
    </w:p>
    <w:p>
      <w:pPr/>
      <w:r>
        <w:rPr>
          <w:rFonts w:ascii="Times New Roman" w:hAnsi="Times New Roman" w:eastAsia="Times New Roman" w:cs="Times New Roman"/>
          <w:sz w:val="24"/>
        </w:rPr>
        <w:t>Trademarks</w:t>
      </w:r>
    </w:p>
    <w:p>
      <w:pPr/>
      <w:r>
        <w:rPr>
          <w:rFonts w:ascii="Times New Roman" w:hAnsi="Times New Roman" w:eastAsia="Times New Roman" w:cs="Times New Roman"/>
          <w:sz w:val="24"/>
        </w:rPr>
        <w:t>We own or have rights to various trademarks, service marks and trade names that we use in connection with the operation of our business. The [SPINCO] and the [PARENTCO] logo and all products, unless otherwise noted, denoted with ™, ℠ or ® are trademarks, service marks or registered trademarks of [SPINCO], [PARENTCO], or their respective subsidiaries or affiliates. Solely for convenience, the trademarks, service marks and trade names referred to in this communication may appear without the ™, ℠ or ® symbols, but such references are not intended to indicate, in any way, that we will not assert, to the fullest extent under applicable law, our rights or the right of the applicable licensor to these trademarks, service marks and trade names. This communication may also contain trademarks, service marks and trade names of certain third parties, which are the property of their respective owners. Our use or display of third parties’ trademarks, service marks, trade names or products in this communication is not intended to, and should not be read to, imply a relationship with or endorsement or sponsorship of us.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