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Spin-off Subsidiary Spin-off Press Release Announcing Effectiveness of Form 10 Registration Statement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OF PRESS RELEASE ANNOUNCING EFFECTIVENESS OF REGISTRATION STATEMENT ON FORM 10</w:t>
      </w:r>
    </w:p>
    <w:p>
      <w:pPr>
        <w:keepNext w:val="0"/>
        <w:spacing w:before="120" w:after="0" w:line="260" w:lineRule="exact"/>
        <w:ind w:left="720" w:right="0" w:firstLine="0"/>
        <w:jc w:val="left"/>
      </w:pPr>
      <w:r>
        <w:rPr>
          <w:rFonts w:ascii="Times New Roman" w:hAnsi="Times New Roman" w:eastAsia="Times New Roman" w:cs="Times New Roman"/>
          <w:b w:val="0"/>
          <w:sz w:val="24"/>
        </w:rPr>
        <w:t>Exhibit 99.1.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 of spin-off subsidiary] Announces Effectiveness of the Form 10 Registration Statement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[Name of spin-off subsidiary] ("[SPINCO]") today announced that its Registration Statement on Form 10 has been declared effective by the Securities and Exchange Commission (SEC). The Form 10 includes information regarding [SPINCO]'s business and strategy as well as details on the spin-off, which is expected to be completed on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"Today's announcement of the Form 10 effectiveness marks the final regulatory milestone in our process to spin. [SPINCO] is separating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publicly traded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of strength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roadmap to deliver long-term value for our shareholders," said [SPINCO officer name], [chief executive officer] [elect] of [SPINCO].</w:t>
      </w:r>
    </w:p>
    <w:p>
      <w:pPr>
        <w:keepNext w:val="0"/>
        <w:spacing w:before="200" w:after="0" w:line="260" w:lineRule="exact"/>
        <w:ind w:left="1080" w:right="0" w:firstLine="0"/>
        <w:jc w:val="both"/>
      </w:pPr>
      <w:r>
        <w:rPr>
          <w:rFonts w:ascii="Times New Roman" w:hAnsi="Times New Roman" w:eastAsia="Times New Roman" w:cs="Times New Roman"/>
          <w:b w:val="0"/>
          <w:sz w:val="24"/>
        </w:rPr>
        <w:t>The effectiveness of the Form 10 is one of the final milestones in the separation process. The separation remains subject to certain customary closing conditions including receiving [PARENTCO] shareholder approval. [applicable stock exchange] has authorized [SPINCO]'s common stock for listing and has advised that "when-issued" trading in [SPINCO] common stock on [applicable stock exchange] will begin on [date], under the symbol "[applicable SPINCO ticker]". Following the spin-off, on [date], [SPINCO] common stock will begin "regular way" trading on [applicable stock exchange] under the symbol "[applicable SPINCO ticker]" and [PARENTCO] will continue trading under "[PARENTCO ticker]".</w:t>
      </w:r>
    </w:p>
    <w:p>
      <w:pPr>
        <w:keepNext w:val="0"/>
        <w:spacing w:before="200" w:after="0" w:line="260" w:lineRule="exact"/>
        <w:ind w:left="1080" w:right="0" w:firstLine="0"/>
        <w:jc w:val="both"/>
      </w:pPr>
      <w:r>
        <w:rPr>
          <w:rFonts w:ascii="Times New Roman" w:hAnsi="Times New Roman" w:eastAsia="Times New Roman" w:cs="Times New Roman"/>
          <w:b w:val="0"/>
          <w:sz w:val="24"/>
        </w:rPr>
        <w:t>The Form 10 provides important information on the business strategy, competitive strengths, and historical financial data of [SPINCO], among other details for the company. For more information, the Form 10 can be viewed at http://www.sec.gov and the related information statement is available on [SPINCO]'s website at [SPINCO website URL].</w:t>
      </w:r>
    </w:p>
    <w:p>
      <w:pPr>
        <w:keepNext w:val="0"/>
        <w:spacing w:before="120" w:after="0" w:line="260" w:lineRule="exact"/>
        <w:ind w:left="1080" w:right="0" w:firstLine="0"/>
        <w:jc w:val="left"/>
      </w:pPr>
      <w:r>
        <w:rPr>
          <w:rFonts w:ascii="Times New Roman" w:hAnsi="Times New Roman" w:eastAsia="Times New Roman" w:cs="Times New Roman"/>
          <w:b/>
          <w:sz w:val="24"/>
        </w:rPr>
        <w:t>About [SPINCO]</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[SPINCO business description]. More information can be found at [SPINCO website URL].</w:t>
      </w:r>
    </w:p>
    <w:p>
      <w:pPr>
        <w:keepNext w:val="0"/>
        <w:spacing w:before="120" w:after="0" w:line="260" w:lineRule="exact"/>
        <w:ind w:left="1080" w:right="0" w:firstLine="0"/>
        <w:jc w:val="left"/>
      </w:pPr>
      <w:r>
        <w:rPr>
          <w:rFonts w:ascii="Times New Roman" w:hAnsi="Times New Roman" w:eastAsia="Times New Roman" w:cs="Times New Roman"/>
          <w:b/>
          <w:sz w:val="24"/>
        </w:rPr>
        <w:t>Forward-Looking Statements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communication contains "forward-looking statements" within the meaning of the federal securities laws, including Section 27A of the Securities Act of 1933, as amended, and Section 21E of the Securities Exchange Act of 1934, as amended. In this context, forward-looking statements often address expected future business and financial performance and financial condition, and often contain words such as "expect," "anticipate," "intend," "plan," "believe," "seek," "see," "will," "would," "target," and similar expressions and variations or negatives of these words. These forward-looking statements, which reflect management's expectations regarding future events and operating performance and speak only as of the date of this press release. These forward-looking statements are not guarantees of future performance or events and are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assumptions, risks and uncertainties, many of which are beyond our control, which could cause actual results and events to differ materially from such statements. Factors can be found in [SPINCO]'s filings with the Securities and Exchange Commission, including the risk factors discussed in Exhibit </w:t>
      </w:r>
      <w:r>
        <w:rPr>
          <w:rFonts w:ascii="Times New Roman" w:hAnsi="Times New Roman" w:eastAsia="Times New Roman" w:cs="Times New Roman"/>
          <w:b w:val="0"/>
          <w:sz w:val="24"/>
        </w:rPr>
        <w:t>99.1.</w:t>
      </w:r>
      <w:r>
        <w:rPr>
          <w:rFonts w:ascii="Times New Roman" w:hAnsi="Times New Roman" w:eastAsia="Times New Roman" w:cs="Times New Roman"/>
          <w:b w:val="0"/>
          <w:sz w:val="24"/>
        </w:rPr>
        <w:t xml:space="preserve"> to the [SPINCO] Form 10, amendment number [#], filed on [date]. There can be no assurance that management's expectations, beliefs, events, or projections will result or be achieved or accomplished. [SPINCO] undertakes no obligation to update or revise such forward-looking information,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new information, future events or otherwise, except as may otherwise be required by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announcement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securities for sale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purchase securities in any jurisdiction nor shall it (or any part of it) or the fact of its distribution, form the basis of, or be relied on in connection with, any contract therefor.</w:t>
      </w:r>
    </w:p>
    <w:p>
      <w:pPr>
        <w:keepNext w:val="0"/>
        <w:spacing w:before="120" w:after="0" w:line="260" w:lineRule="exact"/>
        <w:ind w:left="1080" w:right="0" w:firstLine="0"/>
        <w:jc w:val="left"/>
      </w:pPr>
      <w:r>
        <w:rPr>
          <w:rFonts w:ascii="Times New Roman" w:hAnsi="Times New Roman" w:eastAsia="Times New Roman" w:cs="Times New Roman"/>
          <w:b/>
          <w:sz w:val="24"/>
        </w:rPr>
        <w:t>Trademarks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own or have rights to various trademarks, service marks and trade names that we use in connection with the operation of our business. The [SPINCO] and the [PARENTCO] logo and all products, unless otherwise noted, denoted with ™, ℠ or ® are trademarks, service marks or registered trademarks of [SPINCO], [PARENTCO], or their respective subsidiaries or affiliates. Solely for convenience, the trademarks, service marks and trade names referred to in this communication may appear without the ™, ℠ or ® symbols, but such references are not intended to indicate, in any way, that we will not assert, to the fullest extent under applicable law, our rights or the right of the applicable licensor to these trademarks, service marks and trade names. This communication may also contain trademarks, service marks and trade names of certain third parties, which are the property of their respective owners. Our use or display of third parties' trademarks, service marks, trade names or products in this communication is not intended to, and should not be read to, imply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with or endorsement or sponsorship of us.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