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[name of designator]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 (e.g., physical or mental debilitation)]. [OPTIONAL (if Military Instrument): Additionally, the standby guardian’s authority shall take effect if I am [additional events upon which authority becomes effective (e.g., missing in action, captured, a prisoner of war, or otherwise unable to care for my child due to absence)].]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[months] from the date of this designation, and as such, the authority of the standby guardian, if any, will cease, unless by that date either I or the designated standby guardian petitions the court for judicial appointment of the designated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If I have indicated more than one triggering event, it is my intent that the triggering event which occurs first shall take precedence. If I have indicated "my death" as a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