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Statement of Incorporator(s)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as the incorporator(s) named in the articles of incorporation of the corporation, hereby state(s) that the following actions were taken this day for the purpose of organizing this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Bylaws of the Corporation were adopted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first secretary of the Corporation appointed by its directors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them, similarly certified, to be kept in the principal executive office or business office of the Corporation in accordance with Cal. Corp. Code § 213.</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persons were elected as directors of the Corporation: [names], each to serve until the next annual meeting of shareholders and until his or her successor is elected and qualified.</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Authorized to Make and Adopt Bylaws</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are authorized to make and adopt bylaws of the Corporation and in their discretion, to issue shares of capital stock of the Corporation to the full amount of number of shares authorized by the articles of incorporation, in such amounts and for such considerations as from time to time shall be determined by the directors as may be permitted by law.</w:t>
      </w:r>
    </w:p>
    <w:p>
      <w:pPr>
        <w:keepNext w:val="0"/>
        <w:spacing w:before="200" w:after="0" w:line="260" w:lineRule="exact"/>
        <w:ind w:left="360" w:right="0" w:firstLine="0"/>
        <w:jc w:val="both"/>
      </w:pPr>
      <w:r>
        <w:rPr>
          <w:rFonts w:ascii="Times New Roman" w:hAnsi="Times New Roman" w:eastAsia="Times New Roman" w:cs="Times New Roman"/>
          <w:b/>
          <w:sz w:val="24"/>
        </w:rPr>
        <w:t>Sign as of the above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Incorporator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