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Statement of Theories of Recovery and Undisputed Material Facts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[STATE/SUPERIOR] COURT OF [COUNTY NAME] COUNTY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STATE OF GEORGIA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[MOVING PARTY DESIGNATION] [MOVING PARTY NAME]'S STATEMENT OF MATERIAL FACTS AS TO WHICH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THERE IS NO GENUINE ISSUE TO BE TRIED AND THEORIES OF [RECOVERY/NON-RECOVERY]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COMES NOW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[moving party name], [moving party designation (e.g., Plaintiff)] in the above-referenced matter and, in compliance with Uniform Superior Court Rule 6.5, files this separate, short, and concise statement of each of the material facts as to which [he, she, or it] contends there is no genuine issue to be tried, and [his, her, or its] theory of recovery.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STATEMENT OF UNDISPUTED MATERIAL FACTS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[Summarize the undisputed facts in the case that are material to your summary judgment motion.]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THEORIES OF [RECOVERY/NON-RECOVERY]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[Moving party designation (e.g., Plaintiff)] is entitled to summary judgment on Count [count number] because there is no admissible evidence in the record to dispute [first element of the count].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[day in numerals] day of [month], [year].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Georgia Bar No. [state bar ID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[moving party designation (e.g., Plaintiff)] [moving party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Tel. [phone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Fax: [fax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[state or superior] COURT OF [county name] COUNTY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CERTIFICATE OF SERVICE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I have this day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[MOVING PARTY DESIGNATION] [MOVING PARTY NAME]'S STATEMENT OF MATERIAL FACTS AS TO WHICH THERE IS NO GENUINE ISSUE TO BE TRIED AND THEORIES OF RECOVERY upon all parties in this matter by serving same, via [method of service], to: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[day in numerals] day of [month], [year].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Georgia Bar No. [state bar ID number]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 (e.g., Plaintiff)] [moving party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Tel. [phone number]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Fax: [fax number]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