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Subordination to Lien of Mortgage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[FORMAT LEGEND IN ACCORDANCE WITH LOCAL LAW REQUIREMENTS]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SUBORDINATION TO LIEN OF MORTGAGE (this "</w:t>
      </w:r>
      <w:r>
        <w:rPr>
          <w:rFonts w:ascii="Times New Roman" w:hAnsi="Times New Roman" w:eastAsia="Times New Roman" w:cs="Times New Roman"/>
          <w:b/>
          <w:sz w:val="24"/>
        </w:rPr>
        <w:t>Subordination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") is made as of [date], by [name of subordinate lender],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(n) [entity type and state of formation], having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at [address of subordinate lender] (together with any subsequent holder of the Subordinate Mortgage (as hereinafter defined), the "</w:t>
      </w:r>
      <w:r>
        <w:rPr>
          <w:rFonts w:ascii="Times New Roman" w:hAnsi="Times New Roman" w:eastAsia="Times New Roman" w:cs="Times New Roman"/>
          <w:b/>
          <w:sz w:val="24"/>
        </w:rPr>
        <w:t>Subordinate Mortgagee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") in favor of [name of superior lender],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(n) [entity type and state of formation], having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at [address of superior lender] (together with any subsequent holder of the Superior Mortgage (as hereinafter defined), the "</w:t>
      </w:r>
      <w:r>
        <w:rPr>
          <w:rFonts w:ascii="Times New Roman" w:hAnsi="Times New Roman" w:eastAsia="Times New Roman" w:cs="Times New Roman"/>
          <w:b/>
          <w:sz w:val="24"/>
        </w:rPr>
        <w:t>Superior Mortgagee</w:t>
      </w:r>
      <w:r>
        <w:rPr>
          <w:rFonts w:ascii="Times New Roman" w:hAnsi="Times New Roman" w:eastAsia="Times New Roman" w:cs="Times New Roman"/>
          <w:b w:val="0"/>
          <w:sz w:val="24"/>
        </w:rPr>
        <w:t>").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W I T N E S S E T H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WHEREAS, [name of Borrower],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(n) [entity type and state of formation] ("</w:t>
      </w:r>
      <w:r>
        <w:rPr>
          <w:rFonts w:ascii="Times New Roman" w:hAnsi="Times New Roman" w:eastAsia="Times New Roman" w:cs="Times New Roman"/>
          <w:b/>
          <w:sz w:val="24"/>
        </w:rPr>
        <w:t>Borrower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"), is the owner of the fee simple interest in and to that certain parcel of real property more particularly described in 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Schedule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 hereof, together with all easements and appurtenant interests, and the buildings, fixtures, and improvements on such parcel (collectively, the "</w:t>
      </w:r>
      <w:r>
        <w:rPr>
          <w:rFonts w:ascii="Times New Roman" w:hAnsi="Times New Roman" w:eastAsia="Times New Roman" w:cs="Times New Roman"/>
          <w:b/>
          <w:sz w:val="24"/>
        </w:rPr>
        <w:t>Premises</w:t>
      </w:r>
      <w:r>
        <w:rPr>
          <w:rFonts w:ascii="Times New Roman" w:hAnsi="Times New Roman" w:eastAsia="Times New Roman" w:cs="Times New Roman"/>
          <w:b w:val="0"/>
          <w:sz w:val="24"/>
        </w:rPr>
        <w:t>"); 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WHEREAS, the Superior Mortgagee is the owner and holder of the mortgage described on 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Schedule </w:t>
      </w:r>
      <w:r>
        <w:rPr>
          <w:rFonts w:ascii="Times New Roman" w:hAnsi="Times New Roman" w:eastAsia="Times New Roman" w:cs="Times New Roman"/>
          <w:b w:val="0"/>
          <w:sz w:val="24"/>
        </w:rPr>
        <w:t>B.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annexed hereto and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 hereof encumbering the Premises (as the same may be amended, restated, or consolidated from time to time, the "</w:t>
      </w:r>
      <w:r>
        <w:rPr>
          <w:rFonts w:ascii="Times New Roman" w:hAnsi="Times New Roman" w:eastAsia="Times New Roman" w:cs="Times New Roman"/>
          <w:b/>
          <w:sz w:val="24"/>
        </w:rPr>
        <w:t>Superior Mortgage</w:t>
      </w:r>
      <w:r>
        <w:rPr>
          <w:rFonts w:ascii="Times New Roman" w:hAnsi="Times New Roman" w:eastAsia="Times New Roman" w:cs="Times New Roman"/>
          <w:b w:val="0"/>
          <w:sz w:val="24"/>
        </w:rPr>
        <w:t>"); 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WHEREAS, the Subordinate Mortgagee is the owner and holder of the mortgage described on 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Schedule </w:t>
      </w:r>
      <w:r>
        <w:rPr>
          <w:rFonts w:ascii="Times New Roman" w:hAnsi="Times New Roman" w:eastAsia="Times New Roman" w:cs="Times New Roman"/>
          <w:b w:val="0"/>
          <w:sz w:val="24"/>
        </w:rPr>
        <w:t>C.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annexed hereto and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 hereof encumbering the Premises (as the same may be amended, restated, or consolidated from time to time, collectively, the "</w:t>
      </w:r>
      <w:r>
        <w:rPr>
          <w:rFonts w:ascii="Times New Roman" w:hAnsi="Times New Roman" w:eastAsia="Times New Roman" w:cs="Times New Roman"/>
          <w:b/>
          <w:sz w:val="24"/>
        </w:rPr>
        <w:t>Subordinate Mortgage</w:t>
      </w:r>
      <w:r>
        <w:rPr>
          <w:rFonts w:ascii="Times New Roman" w:hAnsi="Times New Roman" w:eastAsia="Times New Roman" w:cs="Times New Roman"/>
          <w:b w:val="0"/>
          <w:sz w:val="24"/>
        </w:rPr>
        <w:t>"); 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WHEREAS, the Subordinate Mortgagee [desires to subordinate/confirms the subordination of] the lien of the Subordinate Mortgage to the lien of the Superior Mortgage.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NOW, THEREFORE, in consideration of one dollar ($1.00) and other valuable consideration, the Subordinate Mortgagee hereby [subordinates/confirms the subordination of] the lien of the Subordinate Mortgage to the lien of the Superior Mortgage.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[REMAINDER OF PAGE INTENTIONALLY LEFT BLANK]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Subordinate Mortgagee has executed this Subordination as of the date first above written.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SUBORDINATE MORTGAGEE: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subordinate lender]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 of 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[title of signatory]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[STATE SPECIFIC ACKNOWLEDGMENTS]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SCHEDULE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DESCRIPTION OF PREMISES.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SCHEDULE B.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DESCRIPTION OF SUPERIOR MORTGAGE.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SCHEDULE C.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DESCRIPTION OF SUBORDINATE MORTGAGE.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