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Substantive Consolidation Motion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MOTION OF THE OFFICIAL COMMITTEE</w:t>
      </w:r>
      <w:r>
        <w:rPr>
          <w:rFonts w:ascii="Times New Roman" w:hAnsi="Times New Roman" w:eastAsia="Times New Roman" w:cs="Times New Roman"/>
          <w:sz w:val="24"/>
        </w:rPr>
        <w:br/>
      </w:r>
      <w:r>
        <w:rPr>
          <w:rFonts w:ascii="Times New Roman" w:hAnsi="Times New Roman" w:eastAsia="Times New Roman" w:cs="Times New Roman"/>
          <w:b/>
          <w:sz w:val="24"/>
        </w:rPr>
        <w:t>OF UNSECURED CREDITORS FOR SUBSTANTIVE CONSOLIDATION</w:t>
      </w:r>
    </w:p>
    <w:p>
      <w:pPr>
        <w:keepNext w:val="0"/>
        <w:spacing w:before="200" w:after="0" w:line="260" w:lineRule="exact"/>
        <w:ind w:left="360" w:right="0" w:firstLine="0"/>
        <w:jc w:val="both"/>
      </w:pPr>
      <w:r>
        <w:rPr>
          <w:rFonts w:ascii="Times New Roman" w:hAnsi="Times New Roman" w:eastAsia="Times New Roman" w:cs="Times New Roman"/>
          <w:b w:val="0"/>
          <w:sz w:val="24"/>
        </w:rPr>
        <w:t>The Official Committee of Unsecured Creditors (the "</w:t>
      </w:r>
      <w:r>
        <w:rPr>
          <w:rFonts w:ascii="Times New Roman" w:hAnsi="Times New Roman" w:eastAsia="Times New Roman" w:cs="Times New Roman"/>
          <w:b w:val="0"/>
          <w:sz w:val="24"/>
        </w:rPr>
        <w:t>Committee</w:t>
      </w:r>
      <w:r>
        <w:rPr>
          <w:rFonts w:ascii="Times New Roman" w:hAnsi="Times New Roman" w:eastAsia="Times New Roman" w:cs="Times New Roman"/>
          <w:b w:val="0"/>
          <w:sz w:val="24"/>
        </w:rPr>
        <w:t>") of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respectfully, by and through their undersigned counsel,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seeking substantive consolidation of the Debtors' estates, and represents in support hereof as follows:</w:t>
      </w: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Court has jurisdiction over this matter pursuant to 28 U.S.C. §§ 157 and 1334. Venue is proper pursuant to 28 U.S.C. §§ 1408 and 1409.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157(b)(2).</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sought herein are sections [105, 1107, 1108, and 1123 of the Bankruptcy Code].</w:t>
      </w:r>
    </w:p>
    <w:p>
      <w:pPr>
        <w:keepNext w:val="0"/>
        <w:spacing w:before="120" w:after="0" w:line="260" w:lineRule="exact"/>
        <w:ind w:left="36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Relevant Procedural 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each filed with this Court voluntary petitions for relief under chapter 11 of title 11 of the United States Bankruptcy Code, 11 U.S.C. § 101 et. seq., as amended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Pursuant to sections 1107 and 1108 of the Bankruptcy Code, the Debtors continue to operate their businesses and manage their properties as debtors in possession.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the Petition Date, the Debtors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management motion title], dated [date] (the "</w:t>
      </w:r>
      <w:r>
        <w:rPr>
          <w:rFonts w:ascii="Times New Roman" w:hAnsi="Times New Roman" w:eastAsia="Times New Roman" w:cs="Times New Roman"/>
          <w:b w:val="0"/>
          <w:sz w:val="24"/>
        </w:rPr>
        <w:t>Cash Management Motion</w:t>
      </w:r>
      <w:r>
        <w:rPr>
          <w:rFonts w:ascii="Times New Roman" w:hAnsi="Times New Roman" w:eastAsia="Times New Roman" w:cs="Times New Roman"/>
          <w:b w:val="0"/>
          <w:sz w:val="24"/>
        </w:rPr>
        <w:t>") and the [First Day Affidavit of [name of Debtors' officer] in Support of Chapter 11 Petition and First Day Orders], sworn to on [date] (the "</w:t>
      </w:r>
      <w:r>
        <w:rPr>
          <w:rFonts w:ascii="Times New Roman" w:hAnsi="Times New Roman" w:eastAsia="Times New Roman" w:cs="Times New Roman"/>
          <w:b w:val="0"/>
          <w:sz w:val="24"/>
        </w:rPr>
        <w:t>First Day Affidavit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[date], the Office of the United States Trustee appointed the Committee. [Recite the formation of any other official committees, if applicable]. No trustee or examiner has been appointed in any of the Debtors' chapter 11 cases.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cases have been consolidated for procedural purposes and are being jointly administered by the Court under Case No. [main case number], pursuant to [joint administration order and date].</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Relevant Factual 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Petition Date, the Debtors were principally engaged in [describe the Debtors' businesses and industry niche in one succinct paragraph].</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[Main debtor] was incorporated in [state/commonwealth] of [name of state or commonwealth] on [date].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[Main debtor]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holding company that owned, directly or indirectly, the other [number] Debtors which filed bankruptcy petitions on the Petition Date. The Organizational Chart in the First Day Affidavit,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shows that [main debtor] directly owns all of the outstanding stock of [name direct subsidiaries] and through other entities, owns indirectly the stock of [name debtors owned through other debtors]. [[Main debtor] also owns, directly or indirectly, [number] of non-debtor entities, many of whom are organized under foreign laws and operating outside of the United States, including [name them].]</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holding company, [main debtor] has no business other than owning all of the equity interests of the remaining Debtors. As detailed below, [main debtor] and the remaining Debtors' operations and finances are intertwined.</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Intertwined operations and finances</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Generally, [main debtor] directed the affairs of all of the Debtors. On information and belief, each Debtor's board of directors was comprised, completely or partially, of [main debtor] employees, officers, or directors.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Debtors and highlights officers, directors, and other management who are from [main debtor].</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all in-house legal and treasury services for the Debtors were provided by [main debtor]'s Legal and Treasury Departments.</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information and belief, it appears that many of the Debtors operated from the same principal office,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also frequently shared assets. The Debtors used each other's software and knowledge-based engineering tools. [In various SEC filings, [main debtor] stated that it offered advanced computer systems, development services, and products in the areas of systems integration, computer-aided design, expert systems, and database development projects for which other subsidiaries provided essential back-up services, such as [describe services affiliates were held out as providing]].</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information and belief, the Committee believes that the Debtors' customers were not billed separately by the actual Debtor entities that developed and delivered such products and services.</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Many of [main debtor's] subsidiaries' very existence and viability depended upon their relationship with [main debtor]. For example, the Debtors who had ongoing projects often required the issuance of performance guarantees from [main debtor] to their customers. [Main debtor] provided surety bonds and performance guarantees for the benefit of its subsidiary Debtors in the following instances: [describe and list surety bonds and performance guarantees for each debtor and each project, reflecting what you have uncovered in your investigation].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intercompany performance bonds and surety bonds is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None of the many lenders who provided the Debtors with lines of credit relied solely on the credit or financial performance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Debtor; rather, the lenders required guarantees from all other Debtors on any credit facility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Debtor borrower. [detail here and the next paragraph]</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According to the First Day Affidavit, [quote from First Day Affidavit descriptions of all credit facilities, with inter-affiliate guarantees and cross-collateralization listed in each case].</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sum, taking all of the credit facilities together, the Debtors owe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[amount] to various lenders on their shared credit facilities. This indebtedness is not separable or segregable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debtor-by-debtor basis, it is owed by all Debtors together.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Debtors utilized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unified and commingled cash management system</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Through the operation of the Debtors' cash management system, as detailed in the Cash Management Motion, the Debtors' cash and cash equivalents were commingled through "discrete transfers" that utilized "all funds within the system", including required capital infusions into subsidiaries and intercompany loans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needed basis." See Cash Management Motion, ¶¶ [cite paragraphs discussing intercompany transfers and loans]; see also First Day Affidavit, ¶¶ [cite paragraphs discussing commingled cash management system and intercompany transfers and loans].</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transfers and loans were documented via internal book entries that lacked proper corporate and legal formalities and resulted in uniformity of ownership and control over all the other debtors by [name of main debtor].</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the Debtors' cash management system effectively commingled and intermingled all the cash and cash equivalents of each of the Debtors, structured to give the Debtors maximum flexibility in managing all cash resources. This structure irreversibly blurred the lines between the Debtors, and essentially eliminated the economic independence of any single Debtor.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Debtors had consolidated financial reporting</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Although each of the Debtors maintained separate books and records for internal purposes, the Debtors' financial reporting was done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 [Main debtor] prepared all financial statements for the consolidated group of Debtors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of the Debtors' consolidated financial statements reveals that the Debtors recorded intercorporate accounts and transactions between and among the various Debtors, but on information and belief these accounts were never settled.</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the Petition Date, the Debtors have continued to report their financial condition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 For example, the Debtors moved to file their schedules and statements of financial affairs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 In addition, the Debtors continue to file their monthly operating reports as required by the Office of the United States Trustee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Creditors treated the debtors as one enterprise</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information and belief, the majority of Debtors' creditors believed that [main debtor] was who they were dealing with, not any of the other Debtors in the corporate family.</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these creditors knew that the [main debtor]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mere holding company or not, the corporate structure was irrelevant to their decision-making process in their business dealings with the Debtors.</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many multi-company businesses, the existence of separate affiliates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family is clear and uncontroverted, arms' length and obvious. However, this is not true for the Debtors. In their [year] Annual Report, [main debtor] stated: [Quote helpful language from prior annual reports blurring the lines between all corporate affiliates into one amorphous business description]. Rather than holding themselves out as separate, free-standing legal entities with distinct businesses, this language demonstrates that the Debtors held themselves out as one big business.</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Analyzing the various Debtors in the Debtor corporate family reveals that although they had facially different purposes, all of the Debtors essentially functioned as one operating business. For example, of the [total number] of Debtors, [number] provided [describe the type of business and commercial services]. As described on the Organizational Chart, [number] of the Debtors existed solely to provide personnel to other Debtor and non-debtor affiliates: [name these Debtors]. One of the Debtors, [name], was created solely to do procurement for the other Debtors and non-debtors. Of the remaining [number] of Debtors, [number] existed solely to maintain the manufacturing facilities of other Debtors: [name them]. Finally, [number] of the Debtors were created solely to acquire and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piece of real estate utilized by other Debtors in the business: [name them, and provide addresses for the properties].</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Committee asserts that all of the Debtor entities were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economic unit engaged in essentially one and the same business, and their creditors believed that this was one enterprise as well. As such, the Debtors should be substantively consolidated.</w:t>
      </w:r>
    </w:p>
    <w:p>
      <w:pPr>
        <w:keepNext w:val="0"/>
        <w:spacing w:before="120" w:after="0" w:line="260" w:lineRule="exact"/>
        <w:ind w:left="36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this Motion, the Committee respectfully requests that the Court exercise its equitable powers to substantively consolidate the Debtors for all purposes, including in connection with the solicitation of acceptance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and distributions to creditors.</w:t>
      </w:r>
    </w:p>
    <w:p>
      <w:pPr>
        <w:keepNext w:val="0"/>
        <w:spacing w:before="120" w:after="0" w:line="260" w:lineRule="exact"/>
        <w:ind w:left="360" w:right="0" w:firstLine="0"/>
        <w:jc w:val="left"/>
      </w:pPr>
      <w:r>
        <w:rPr>
          <w:rFonts w:ascii="Times New Roman" w:hAnsi="Times New Roman" w:eastAsia="Times New Roman" w:cs="Times New Roman"/>
          <w:b/>
          <w:sz w:val="24"/>
        </w:rPr>
        <w:t>BASIS FOR RELIEF REQUESTED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Substantive consolidation allows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to consolidate the assets and liabilities of separate legal entities and to treat those assets and liabilities as held and incurred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entity. Substantive consolidation does not appear in the Bankruptcy Code; instead, the law is judge-made, through the bankruptcy courts' longstanding equitable powers dating from before the enactment of the Bankruptcy Code in 1978. Although Congress did not codify substantive consolidation when it enacted the Bankruptcy Code, courts have held that "even though substantive consolidation was not codified in the statutory overhaul of bankruptcy law in 1978, the equitable power undoubtedly survived enactment of the Bankruptcy Code." In re Bonham, 229 F.3d 750, 765 (9th Cir. 2000). Bankruptcy courts typically order substantive consolidation by relying on their general equitable powers under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Circuit has not adopted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test for substantive consolidation, and courts in this Circuit have looked to all the various tests for guidance in determining whether substantive consolidation was appropriate. In these cases, substantive consolidation is appropriate under any of the tests described below.</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Substantive consolidation of the Debtors is appropriate under the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Auto-Train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 and the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Eastgroup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D.C. Circuit Court crafted the </w:t>
      </w:r>
      <w:r>
        <w:rPr>
          <w:rFonts w:ascii="Times New Roman" w:hAnsi="Times New Roman" w:eastAsia="Times New Roman" w:cs="Times New Roman"/>
          <w:b w:val="0"/>
          <w:sz w:val="24"/>
        </w:rPr>
        <w:t>Auto-Train</w:t>
      </w:r>
      <w:r>
        <w:rPr>
          <w:rFonts w:ascii="Times New Roman" w:hAnsi="Times New Roman" w:eastAsia="Times New Roman" w:cs="Times New Roman"/>
          <w:b w:val="0"/>
          <w:sz w:val="24"/>
        </w:rPr>
        <w:t xml:space="preserve"> test, which requires the proponent of substantive consolidation to demonstrate that (1)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identity between the entities to be consolidated and (2) consolidation is necessary to avoid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harm or realize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In re Drabkin v. Midland-Ross Corp. (In re Auto-Train Corp.), 810 F.2d 270, 284 (D.C. Cir. 1987). The court in </w:t>
      </w:r>
      <w:r>
        <w:rPr>
          <w:rFonts w:ascii="Times New Roman" w:hAnsi="Times New Roman" w:eastAsia="Times New Roman" w:cs="Times New Roman"/>
          <w:b w:val="0"/>
          <w:sz w:val="24"/>
        </w:rPr>
        <w:t>Auto-Train</w:t>
      </w:r>
      <w:r>
        <w:rPr>
          <w:rFonts w:ascii="Times New Roman" w:hAnsi="Times New Roman" w:eastAsia="Times New Roman" w:cs="Times New Roman"/>
          <w:b w:val="0"/>
          <w:sz w:val="24"/>
        </w:rPr>
        <w:t xml:space="preserve"> did not espouse specific elements to establish these factors but courts following </w:t>
      </w:r>
      <w:r>
        <w:rPr>
          <w:rFonts w:ascii="Times New Roman" w:hAnsi="Times New Roman" w:eastAsia="Times New Roman" w:cs="Times New Roman"/>
          <w:b w:val="0"/>
          <w:sz w:val="24"/>
        </w:rPr>
        <w:t>Auto-Train</w:t>
      </w:r>
      <w:r>
        <w:rPr>
          <w:rFonts w:ascii="Times New Roman" w:hAnsi="Times New Roman" w:eastAsia="Times New Roman" w:cs="Times New Roman"/>
          <w:b w:val="0"/>
          <w:sz w:val="24"/>
        </w:rPr>
        <w:t xml:space="preserve"> have considered several factors, including disregard for corporate separateness, joint ownership, and parent control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See, e.g., Paris v. Walker (In re Walker, 566 B.R. 503, 531 (E.D. Tenn. 2017).</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Thereafter, the Eleventh Circuit specifically adopted the </w:t>
      </w:r>
      <w:r>
        <w:rPr>
          <w:rFonts w:ascii="Times New Roman" w:hAnsi="Times New Roman" w:eastAsia="Times New Roman" w:cs="Times New Roman"/>
          <w:b w:val="0"/>
          <w:sz w:val="24"/>
        </w:rPr>
        <w:t>Auto-Train</w:t>
      </w:r>
      <w:r>
        <w:rPr>
          <w:rFonts w:ascii="Times New Roman" w:hAnsi="Times New Roman" w:eastAsia="Times New Roman" w:cs="Times New Roman"/>
          <w:b w:val="0"/>
          <w:sz w:val="24"/>
        </w:rPr>
        <w:t xml:space="preserve"> test in Eastgroup Properties v. Southern Motel Assoc., Ltd., 935 F.2d 245 (11th Cir. 1991), and supplemented it by adding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factors utilized by other courts that can support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 facie case for substantive consolidation:</w:t>
      </w:r>
    </w:p>
    <w:p>
      <w:pPr>
        <w:keepNext w:val="0"/>
        <w:spacing w:before="200" w:after="0" w:line="260" w:lineRule="exact"/>
        <w:ind w:left="1440" w:right="0" w:firstLine="0"/>
        <w:jc w:val="both"/>
      </w:pPr>
      <w:r>
        <w:rPr>
          <w:rFonts w:ascii="Times New Roman" w:hAnsi="Times New Roman" w:eastAsia="Times New Roman" w:cs="Times New Roman"/>
          <w:b w:val="0"/>
          <w:sz w:val="24"/>
        </w:rPr>
        <w:t>• The presence or absence of consolidated financial statements</w:t>
      </w:r>
    </w:p>
    <w:p>
      <w:pPr>
        <w:keepNext w:val="0"/>
        <w:spacing w:before="200" w:after="0" w:line="260" w:lineRule="exact"/>
        <w:ind w:left="1440" w:right="0" w:firstLine="0"/>
        <w:jc w:val="both"/>
      </w:pPr>
      <w:r>
        <w:rPr>
          <w:rFonts w:ascii="Times New Roman" w:hAnsi="Times New Roman" w:eastAsia="Times New Roman" w:cs="Times New Roman"/>
          <w:b w:val="0"/>
          <w:sz w:val="24"/>
        </w:rPr>
        <w:t>• The unity of interests and ownership between various corporate entities</w:t>
      </w:r>
    </w:p>
    <w:p>
      <w:pPr>
        <w:keepNext w:val="0"/>
        <w:spacing w:before="200" w:after="0" w:line="260" w:lineRule="exact"/>
        <w:ind w:left="1440" w:right="0" w:firstLine="0"/>
        <w:jc w:val="both"/>
      </w:pPr>
      <w:r>
        <w:rPr>
          <w:rFonts w:ascii="Times New Roman" w:hAnsi="Times New Roman" w:eastAsia="Times New Roman" w:cs="Times New Roman"/>
          <w:b w:val="0"/>
          <w:sz w:val="24"/>
        </w:rPr>
        <w:t>• The existence of parent and intercorporate guarantees on loans</w:t>
      </w:r>
    </w:p>
    <w:p>
      <w:pPr>
        <w:keepNext w:val="0"/>
        <w:spacing w:before="200" w:after="0" w:line="260" w:lineRule="exact"/>
        <w:ind w:left="1440" w:right="0" w:firstLine="0"/>
        <w:jc w:val="both"/>
      </w:pPr>
      <w:r>
        <w:rPr>
          <w:rFonts w:ascii="Times New Roman" w:hAnsi="Times New Roman" w:eastAsia="Times New Roman" w:cs="Times New Roman"/>
          <w:b w:val="0"/>
          <w:sz w:val="24"/>
        </w:rPr>
        <w:t>• The degree of difficulty in segregating and ascertaining individual assets and liabilities</w:t>
      </w:r>
    </w:p>
    <w:p>
      <w:pPr>
        <w:keepNext w:val="0"/>
        <w:spacing w:before="200" w:after="0" w:line="260" w:lineRule="exact"/>
        <w:ind w:left="1440" w:right="0" w:firstLine="0"/>
        <w:jc w:val="both"/>
      </w:pPr>
      <w:r>
        <w:rPr>
          <w:rFonts w:ascii="Times New Roman" w:hAnsi="Times New Roman" w:eastAsia="Times New Roman" w:cs="Times New Roman"/>
          <w:b w:val="0"/>
          <w:sz w:val="24"/>
        </w:rPr>
        <w:t>• The existence of transfers of assets without formal observance of corporate formalities</w:t>
      </w:r>
    </w:p>
    <w:p>
      <w:pPr>
        <w:keepNext w:val="0"/>
        <w:spacing w:before="200" w:after="0" w:line="260" w:lineRule="exact"/>
        <w:ind w:left="1440" w:right="0" w:firstLine="0"/>
        <w:jc w:val="both"/>
      </w:pPr>
      <w:r>
        <w:rPr>
          <w:rFonts w:ascii="Times New Roman" w:hAnsi="Times New Roman" w:eastAsia="Times New Roman" w:cs="Times New Roman"/>
          <w:b w:val="0"/>
          <w:sz w:val="24"/>
        </w:rPr>
        <w:t>• The commingling of assets and business functions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profitability of consolidation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physical location</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 owning the majority of the subsidiary's stock</w:t>
      </w:r>
    </w:p>
    <w:p>
      <w:pPr>
        <w:keepNext w:val="0"/>
        <w:spacing w:before="200" w:after="0" w:line="260" w:lineRule="exact"/>
        <w:ind w:left="1440" w:right="0" w:firstLine="0"/>
        <w:jc w:val="both"/>
      </w:pPr>
      <w:r>
        <w:rPr>
          <w:rFonts w:ascii="Times New Roman" w:hAnsi="Times New Roman" w:eastAsia="Times New Roman" w:cs="Times New Roman"/>
          <w:b w:val="0"/>
          <w:sz w:val="24"/>
        </w:rPr>
        <w:t>• The entities having common officers or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The subsidiary being grossly undercapitalized</w:t>
      </w:r>
    </w:p>
    <w:p>
      <w:pPr>
        <w:keepNext w:val="0"/>
        <w:spacing w:before="200" w:after="0" w:line="260" w:lineRule="exact"/>
        <w:ind w:left="1440" w:right="0" w:firstLine="0"/>
        <w:jc w:val="both"/>
      </w:pPr>
      <w:r>
        <w:rPr>
          <w:rFonts w:ascii="Times New Roman" w:hAnsi="Times New Roman" w:eastAsia="Times New Roman" w:cs="Times New Roman"/>
          <w:b w:val="0"/>
          <w:sz w:val="24"/>
        </w:rPr>
        <w:t>• The subsidiary transacting business solely with the parent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Both entities disregarding the legal requirements of the subsidiary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organization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Id. at 249-50. (citations omitted). The </w:t>
      </w:r>
      <w:r>
        <w:rPr>
          <w:rFonts w:ascii="Times New Roman" w:hAnsi="Times New Roman" w:eastAsia="Times New Roman" w:cs="Times New Roman"/>
          <w:b w:val="0"/>
          <w:sz w:val="24"/>
        </w:rPr>
        <w:t>Eastgroup</w:t>
      </w:r>
      <w:r>
        <w:rPr>
          <w:rFonts w:ascii="Times New Roman" w:hAnsi="Times New Roman" w:eastAsia="Times New Roman" w:cs="Times New Roman"/>
          <w:b w:val="0"/>
          <w:sz w:val="24"/>
        </w:rPr>
        <w:t xml:space="preserve"> factors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road map for courts to use to sift through evidence when considering substantive consolidation. These factors have been uniformly used by courts in applying the </w:t>
      </w:r>
      <w:r>
        <w:rPr>
          <w:rFonts w:ascii="Times New Roman" w:hAnsi="Times New Roman" w:eastAsia="Times New Roman" w:cs="Times New Roman"/>
          <w:b w:val="0"/>
          <w:sz w:val="24"/>
        </w:rPr>
        <w:t>Auto-Train</w:t>
      </w:r>
      <w:r>
        <w:rPr>
          <w:rFonts w:ascii="Times New Roman" w:hAnsi="Times New Roman" w:eastAsia="Times New Roman" w:cs="Times New Roman"/>
          <w:b w:val="0"/>
          <w:sz w:val="24"/>
        </w:rPr>
        <w:t xml:space="preserve"> test, and even by courts in other jurisdictions when applying their own tests.</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Substantive consolidation is appropriate in these cases when analyzing the Debtors using the above factors. [detail argument]. In the present case, evidence of nearly all of the above factors is readily apparent, demonstrating that the Debtors significantly disregarded their corporate separateness. The Committee asserts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of all of the evidence should convince this Court to order substantive consolidation.</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Substantive consolidation of the Debtors is also appropriate under the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Augie/Restivo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Second Circuit established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test for substantive consolidation in In re Augie/Restivo Baking Co., 860 F.2d 515 (2d Cir. 1988). Under the </w:t>
      </w:r>
      <w:r>
        <w:rPr>
          <w:rFonts w:ascii="Times New Roman" w:hAnsi="Times New Roman" w:eastAsia="Times New Roman" w:cs="Times New Roman"/>
          <w:b w:val="0"/>
          <w:sz w:val="24"/>
        </w:rPr>
        <w:t>Augie/Restivo</w:t>
      </w:r>
      <w:r>
        <w:rPr>
          <w:rFonts w:ascii="Times New Roman" w:hAnsi="Times New Roman" w:eastAsia="Times New Roman" w:cs="Times New Roman"/>
          <w:b w:val="0"/>
          <w:sz w:val="24"/>
        </w:rPr>
        <w:t xml:space="preserve"> test, substantive consolidation is warranted when (1) the creditors dealt with the debtor entities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economic unit and did not rely on their separate identity in extending credit or (2) the affairs of the debtors are so entangled that consolidation will benefit all creditors. Courts have found that under the </w:t>
      </w:r>
      <w:r>
        <w:rPr>
          <w:rFonts w:ascii="Times New Roman" w:hAnsi="Times New Roman" w:eastAsia="Times New Roman" w:cs="Times New Roman"/>
          <w:b w:val="0"/>
          <w:sz w:val="24"/>
        </w:rPr>
        <w:t>Augie/Restivo</w:t>
      </w:r>
      <w:r>
        <w:rPr>
          <w:rFonts w:ascii="Times New Roman" w:hAnsi="Times New Roman" w:eastAsia="Times New Roman" w:cs="Times New Roman"/>
          <w:b w:val="0"/>
          <w:sz w:val="24"/>
        </w:rPr>
        <w:t xml:space="preserve"> test, substantive consolidation may be ordered where either prong is met based on the Second Circuit's use of the word "or." In re 599 Consumer Elec., 195 B.R. 244, 248 (S.D.N.Y. 1996). Here, both factors are satisfied.</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Creditors dealt with the Debtors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single economic unit</w:t>
      </w:r>
    </w:p>
    <w:p>
      <w:pPr>
        <w:keepNext w:val="0"/>
        <w:spacing w:before="120" w:after="0" w:line="260" w:lineRule="exact"/>
        <w:ind w:left="1440" w:right="0" w:firstLine="0"/>
        <w:jc w:val="left"/>
      </w:pPr>
      <w:r>
        <w:rPr>
          <w:rFonts w:ascii="Times New Roman" w:hAnsi="Times New Roman" w:eastAsia="Times New Roman" w:cs="Times New Roman"/>
          <w:b w:val="0"/>
          <w:sz w:val="24"/>
        </w:rPr>
        <w:t>38.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the first prong, the </w:t>
      </w:r>
      <w:r>
        <w:rPr>
          <w:rFonts w:ascii="Times New Roman" w:hAnsi="Times New Roman" w:eastAsia="Times New Roman" w:cs="Times New Roman"/>
          <w:b w:val="0"/>
          <w:sz w:val="24"/>
        </w:rPr>
        <w:t>Augie/Restivo</w:t>
      </w:r>
      <w:r>
        <w:rPr>
          <w:rFonts w:ascii="Times New Roman" w:hAnsi="Times New Roman" w:eastAsia="Times New Roman" w:cs="Times New Roman"/>
          <w:b w:val="0"/>
          <w:sz w:val="24"/>
        </w:rPr>
        <w:t xml:space="preserve"> test requires the proponent to show that the creditor dealt with multiple debtor entities and did not rely on the debtor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entity. The pertinent question for the first part of this prong is whether creditors treated the debtors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entity or enterprise and not whether the debtor or the public viewed the debtor in this manner. In re Republic Airways Holdings, Inc., 565 B.R. 710, 717 (Bankr. S.D.N.Y. 2017).</w:t>
      </w:r>
    </w:p>
    <w:p>
      <w:pPr>
        <w:keepNext w:val="0"/>
        <w:spacing w:before="120" w:after="0" w:line="260" w:lineRule="exact"/>
        <w:ind w:left="1440" w:right="0" w:firstLine="0"/>
        <w:jc w:val="left"/>
      </w:pPr>
      <w:r>
        <w:rPr>
          <w:rFonts w:ascii="Times New Roman" w:hAnsi="Times New Roman" w:eastAsia="Times New Roman" w:cs="Times New Roman"/>
          <w:b w:val="0"/>
          <w:sz w:val="24"/>
        </w:rPr>
        <w:t>39.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second part of the first prong requires the proponent to demonstrate that creditors did not rely on the debtor's separate identity when they extended credit. This part can be satisfied by demonstrating that the creditors that loaned funds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debtor knew that the debtor was not observing corporate formalities and was commingling funds. Windels Marx Lane &amp; Mittendorf, LLP v. Source Enters., 392 B.R. 541, 552 (S.D.N.Y. 2008).</w:t>
      </w:r>
    </w:p>
    <w:p>
      <w:pPr>
        <w:keepNext w:val="0"/>
        <w:spacing w:before="120" w:after="0" w:line="260" w:lineRule="exact"/>
        <w:ind w:left="1440" w:right="0" w:firstLine="0"/>
        <w:jc w:val="left"/>
      </w:pPr>
      <w:r>
        <w:rPr>
          <w:rFonts w:ascii="Times New Roman" w:hAnsi="Times New Roman" w:eastAsia="Times New Roman" w:cs="Times New Roman"/>
          <w:b w:val="0"/>
          <w:sz w:val="24"/>
        </w:rPr>
        <w:t>40.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there is substantial evidence to show that creditors, potential lenders, and others, who may have known or in fact did know of the Debtors' corporate separateness, nonetheless dealt with the Debtors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economic unit and did not rely on the separate identity of either individual Debtor in extending credit or doing business with the Debtors. [add detail and argument].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Debtors' affairs are so entangled that consolidation will benefit all creditors</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Under the second prong, commingling further justifies substantive consolidation where the time and expense necessary even to </w:t>
      </w:r>
      <w:r>
        <w:rPr>
          <w:rFonts w:ascii="Times New Roman" w:hAnsi="Times New Roman" w:eastAsia="Times New Roman" w:cs="Times New Roman"/>
          <w:b w:val="0"/>
          <w:sz w:val="24"/>
        </w:rPr>
        <w:t>attempt</w:t>
      </w:r>
      <w:r>
        <w:rPr>
          <w:rFonts w:ascii="Times New Roman" w:hAnsi="Times New Roman" w:eastAsia="Times New Roman" w:cs="Times New Roman"/>
          <w:b w:val="0"/>
          <w:sz w:val="24"/>
        </w:rPr>
        <w:t xml:space="preserve"> to unscramble the debtors are so substantial as to threaten the realization of any net assets for all the creditors, or where no accurate identification and allocation of assets is possible. Augie/Restivo, 860 F.2d at 519 (citations omitted). "The language 'benefit of all creditors' does not mean each and every creditor. Rather, it means benefit to the creditor body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In re Stayton SW Assisted Living, LLC, 2009 U.S. Dist. LEXIS 119186, at *12 (D. Or. Dec. 22, 2009). "Substantive consolidation is premised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aim: fairness to all creditors,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cost benefit analysis is not required." Id. ((citing Bonham, 229 F.3d at 766, 767).</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analyzing this prong consider whether the debtors shared costs and operations, failed to observe corporate formalities, or failed to act independently (when considering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and subsidiary) so that it would be detrimental to disentangle the operations. In re Leslie Fay Cos., 207 B.R. 764, 789 (Bankr. S.D.N.Y. 1997).</w:t>
      </w:r>
    </w:p>
    <w:p>
      <w:pPr>
        <w:keepNext w:val="0"/>
        <w:spacing w:before="120" w:after="0" w:line="260" w:lineRule="exact"/>
        <w:ind w:left="1440" w:right="0" w:firstLine="0"/>
        <w:jc w:val="left"/>
      </w:pPr>
      <w:r>
        <w:rPr>
          <w:rFonts w:ascii="Times New Roman" w:hAnsi="Times New Roman" w:eastAsia="Times New Roman" w:cs="Times New Roman"/>
          <w:b w:val="0"/>
          <w:sz w:val="24"/>
        </w:rPr>
        <w:t>43.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[add argument].</w:t>
      </w:r>
    </w:p>
    <w:p>
      <w:pPr>
        <w:keepNext w:val="0"/>
        <w:spacing w:before="120" w:after="0" w:line="260" w:lineRule="exact"/>
        <w:ind w:left="1440" w:right="0" w:firstLine="0"/>
        <w:jc w:val="left"/>
      </w:pPr>
      <w:r>
        <w:rPr>
          <w:rFonts w:ascii="Times New Roman" w:hAnsi="Times New Roman" w:eastAsia="Times New Roman" w:cs="Times New Roman"/>
          <w:b w:val="0"/>
          <w:sz w:val="24"/>
        </w:rPr>
        <w:t>44.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Substantive consolidation would also benefit the overall creditor body. [argument]</w:t>
      </w:r>
    </w:p>
    <w:p>
      <w:pPr>
        <w:keepNext w:val="0"/>
        <w:spacing w:before="120" w:after="0" w:line="260" w:lineRule="exact"/>
        <w:ind w:left="1440" w:right="0" w:firstLine="0"/>
        <w:jc w:val="left"/>
      </w:pPr>
      <w:r>
        <w:rPr>
          <w:rFonts w:ascii="Times New Roman" w:hAnsi="Times New Roman" w:eastAsia="Times New Roman" w:cs="Times New Roman"/>
          <w:b w:val="0"/>
          <w:sz w:val="24"/>
        </w:rPr>
        <w:t>45.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[Substantive consolidation of these estates would not materially dilute any group of creditor claims, as all groups will be paid in full. Without substantive consolidation, the Court will be forced to oversee [number] separate bankruptcy proceedings, each with its own liquidation sales, claims process, preference actions, and plan process. Handling and concluding this many proceedings will take years, and will cost the Debtors and this Court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amount of time and energy. If substantively consolidated, the Debtors and this Court can wrap up these proceedings efficiently and more easily.]</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Substantive consolidation of the Debtors is also appropriate under the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Owens Corning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Third Circuit established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 for substantive consolidation in Credit Suisse First Boston v. Owens Corning (In re Owens Corning), 419 F.3d 195 (3d Cir. 2005). The </w:t>
      </w:r>
      <w:r>
        <w:rPr>
          <w:rFonts w:ascii="Times New Roman" w:hAnsi="Times New Roman" w:eastAsia="Times New Roman" w:cs="Times New Roman"/>
          <w:b w:val="0"/>
          <w:sz w:val="24"/>
        </w:rPr>
        <w:t>Owens Corning</w:t>
      </w:r>
      <w:r>
        <w:rPr>
          <w:rFonts w:ascii="Times New Roman" w:hAnsi="Times New Roman" w:eastAsia="Times New Roman" w:cs="Times New Roman"/>
          <w:b w:val="0"/>
          <w:sz w:val="24"/>
        </w:rPr>
        <w:t xml:space="preserve"> test determines the appropriateness of substantive consolidation based on two factors: (1) prepetition the entities must have disregarded separateness so significantly that their creditors relied on the breakdown of entity borders and treated them as one legal entity; or (2) postpetition their assets and liabilities are so scrambled that separating them is prohibitive and would hurt all creditors. Rather than relying on prefixed factors to determine whether entities should be substantively consolidated, the Third Circuit utilizes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"intentionally open-ended, equitable inquiry . . . to determine when to substantively consolidate two entities." Owens Corning, 419 F.3d at 210 (citing Nesbit v. Gears Unlimited, Inc., 347 F.3d 72, 87 (3d Cir. 2003)). Here, both factors are satisfied.</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prepetition Debtors disregarded their separate corporate entities</w:t>
      </w:r>
    </w:p>
    <w:p>
      <w:pPr>
        <w:keepNext w:val="0"/>
        <w:spacing w:before="120" w:after="0" w:line="260" w:lineRule="exact"/>
        <w:ind w:left="1440" w:right="0" w:firstLine="0"/>
        <w:jc w:val="left"/>
      </w:pPr>
      <w:r>
        <w:rPr>
          <w:rFonts w:ascii="Times New Roman" w:hAnsi="Times New Roman" w:eastAsia="Times New Roman" w:cs="Times New Roman"/>
          <w:b w:val="0"/>
          <w:sz w:val="24"/>
        </w:rPr>
        <w:t>47.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 facie case for substantive consolidation under the first prong of the </w:t>
      </w:r>
      <w:r>
        <w:rPr>
          <w:rFonts w:ascii="Times New Roman" w:hAnsi="Times New Roman" w:eastAsia="Times New Roman" w:cs="Times New Roman"/>
          <w:b w:val="0"/>
          <w:sz w:val="24"/>
        </w:rPr>
        <w:t>Owens Corning</w:t>
      </w:r>
      <w:r>
        <w:rPr>
          <w:rFonts w:ascii="Times New Roman" w:hAnsi="Times New Roman" w:eastAsia="Times New Roman" w:cs="Times New Roman"/>
          <w:b w:val="0"/>
          <w:sz w:val="24"/>
        </w:rPr>
        <w:t xml:space="preserve"> test typically exists when, "based on the parties' prepetition dealings,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proponent proves corporate disregard creating contractual expectations of creditors that they were dealing with debtors as one indistinguishable entity." Owens Corning, 419 F.3d at 212.</w:t>
      </w:r>
    </w:p>
    <w:p>
      <w:pPr>
        <w:keepNext w:val="0"/>
        <w:spacing w:before="120" w:after="0" w:line="260" w:lineRule="exact"/>
        <w:ind w:left="1440" w:right="0" w:firstLine="0"/>
        <w:jc w:val="left"/>
      </w:pPr>
      <w:r>
        <w:rPr>
          <w:rFonts w:ascii="Times New Roman" w:hAnsi="Times New Roman" w:eastAsia="Times New Roman" w:cs="Times New Roman"/>
          <w:b w:val="0"/>
          <w:sz w:val="24"/>
        </w:rPr>
        <w:t>48.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the standard is met. [add facts and argument.]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Creditors dealt with the Debtors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single legal entity and relied on their unity</w:t>
      </w:r>
    </w:p>
    <w:p>
      <w:pPr>
        <w:keepNext w:val="0"/>
        <w:spacing w:before="120" w:after="0" w:line="260" w:lineRule="exact"/>
        <w:ind w:left="1440" w:right="0" w:firstLine="0"/>
        <w:jc w:val="left"/>
      </w:pPr>
      <w:r>
        <w:rPr>
          <w:rFonts w:ascii="Times New Roman" w:hAnsi="Times New Roman" w:eastAsia="Times New Roman" w:cs="Times New Roman"/>
          <w:b w:val="0"/>
          <w:sz w:val="24"/>
        </w:rPr>
        <w:t>49.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Proponents of substantive consolidation must also show that, in prepetition dealings, they actually and reasonably relied on debtors' supposed unity. As stated by the Owens court, "[c]orporate disregard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fault may lead to corporate disregard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remedy." Owens Corning, 419 F.3d at 205.</w:t>
      </w:r>
    </w:p>
    <w:p>
      <w:pPr>
        <w:keepNext w:val="0"/>
        <w:spacing w:before="120" w:after="0" w:line="260" w:lineRule="exact"/>
        <w:ind w:left="1440" w:right="0" w:firstLine="0"/>
        <w:jc w:val="left"/>
      </w:pPr>
      <w:r>
        <w:rPr>
          <w:rFonts w:ascii="Times New Roman" w:hAnsi="Times New Roman" w:eastAsia="Times New Roman" w:cs="Times New Roman"/>
          <w:b w:val="0"/>
          <w:sz w:val="24"/>
        </w:rPr>
        <w:t>50.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above, this element is also satisfied by the facts described herein. [summarize facts and arguments]. This actual and reasonable reliance on the Debtor's unity meets the standard for substantive consolidation under </w:t>
      </w:r>
      <w:r>
        <w:rPr>
          <w:rFonts w:ascii="Times New Roman" w:hAnsi="Times New Roman" w:eastAsia="Times New Roman" w:cs="Times New Roman"/>
          <w:b w:val="0"/>
          <w:sz w:val="24"/>
        </w:rPr>
        <w:t>Owens Corning</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Accordingly, for the reasons stated above, the Committee respectfully asserts that the prepetition Debtors have so disregarded their separate corporate entities that creditors treated them as one cohesive entity, and thus substantive consolidation of the Debtors and their estates is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Debtors' postpetition assets and liabilities are so entangled that they cannot be practically separated</w:t>
      </w:r>
    </w:p>
    <w:p>
      <w:pPr>
        <w:keepNext w:val="0"/>
        <w:spacing w:before="120" w:after="0" w:line="260" w:lineRule="exact"/>
        <w:ind w:left="1440" w:right="0" w:firstLine="0"/>
        <w:jc w:val="left"/>
      </w:pPr>
      <w:r>
        <w:rPr>
          <w:rFonts w:ascii="Times New Roman" w:hAnsi="Times New Roman" w:eastAsia="Times New Roman" w:cs="Times New Roman"/>
          <w:b w:val="0"/>
          <w:sz w:val="24"/>
        </w:rPr>
        <w:t>52.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Applying the </w:t>
      </w:r>
      <w:r>
        <w:rPr>
          <w:rFonts w:ascii="Times New Roman" w:hAnsi="Times New Roman" w:eastAsia="Times New Roman" w:cs="Times New Roman"/>
          <w:b w:val="0"/>
          <w:sz w:val="24"/>
        </w:rPr>
        <w:t>Owens Corning</w:t>
      </w:r>
      <w:r>
        <w:rPr>
          <w:rFonts w:ascii="Times New Roman" w:hAnsi="Times New Roman" w:eastAsia="Times New Roman" w:cs="Times New Roman"/>
          <w:b w:val="0"/>
          <w:sz w:val="24"/>
        </w:rPr>
        <w:t xml:space="preserve"> test to the facts in these cases, the Committee urges this Court to substantively consolidate the Debtors' estates because the Debtors' postpetition assets and liabilities are so entangled that they cannot be practically separated. [detail argument and facts].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[Indeed, the Debtors themselves have been unable to file separate schedules, statements of financial affairs, or monthly operating reports in their bankruptcy cases, because their affairs are so inextricably intertwined. Reviewing the duplicate proofs of claim on the claims register reveals that creditors believed they were dealing with one enterprise,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of companies. Substantive consolidation will benefit the Debtors and these creditors, who would spend years sorting through and allocating all the claims, and then litigating about that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54.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sum, the Debtors comprise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complex, [multinational/national/regional] organization whose business—[type of business the Debtors engage in]—appears to be superficially operated by [number of debtor entities] separate corporate entities. However, despite the existence of limited corporate formalities, it is highly unlikely that creditors of any significance, especially trade and other commercial business creditors, believed that they were conducting business with, or relying on the credit of, any singular entity other than the amorphous organization known throughout the industry as [Debtors' shorthand street name]. Because the Debtors significantly disregarded separateness requirements, their creditors consequently treated them as one indivisible legal entity. The Committee asserts that substantive consolidation is therefore warranted in this case.]</w:t>
      </w:r>
    </w:p>
    <w:p>
      <w:pPr>
        <w:keepNext w:val="0"/>
        <w:spacing w:before="120" w:after="0" w:line="260" w:lineRule="exact"/>
        <w:ind w:left="1440" w:right="0" w:firstLine="0"/>
        <w:jc w:val="left"/>
      </w:pPr>
      <w:r>
        <w:rPr>
          <w:rFonts w:ascii="Times New Roman" w:hAnsi="Times New Roman" w:eastAsia="Times New Roman" w:cs="Times New Roman"/>
          <w:b w:val="0"/>
          <w:sz w:val="24"/>
        </w:rPr>
        <w:t>55.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Committee further submits that under any of the above-described tests and after considering the relative risks and benefits and the equities of the case, the facts described herein strongly support substantive consolidation.</w:t>
      </w:r>
    </w:p>
    <w:p>
      <w:pPr>
        <w:keepNext w:val="0"/>
        <w:spacing w:before="120" w:after="0" w:line="260" w:lineRule="exact"/>
        <w:ind w:left="360" w:right="0" w:firstLine="0"/>
        <w:jc w:val="left"/>
      </w:pP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previous motion for the relief requested in the Motion has been made to this or any other Court.</w:t>
      </w:r>
    </w:p>
    <w:p>
      <w:pPr>
        <w:keepNext w:val="0"/>
        <w:spacing w:before="120" w:after="0" w:line="260" w:lineRule="exact"/>
        <w:ind w:left="720" w:right="0" w:firstLine="0"/>
        <w:jc w:val="left"/>
      </w:pPr>
      <w:r>
        <w:rPr>
          <w:rFonts w:ascii="Times New Roman" w:hAnsi="Times New Roman" w:eastAsia="Times New Roman" w:cs="Times New Roman"/>
          <w:b w:val="0"/>
          <w:sz w:val="24"/>
        </w:rPr>
        <w:t>57.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Committee has served copies of this Motion on the United States Trustee, counsel for the Debtors, and all parties that have requested notice in these cases. In addition, the Committee will request that the Debtors' Court-appointed claims agent serve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Motion on all creditors in these proceedings. The Committee asserts that no other or further notice need be given.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the Committee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substantively consolidating the Debtors' estates and granting such other and further relief as is just and proper.</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 to the Official Committee of Unsecured Creditors</w:t>
      </w:r>
    </w:p>
    <w:p>
      <w:pPr>
        <w:keepNext w:val="0"/>
        <w:spacing w:before="200" w:after="0" w:line="260" w:lineRule="exact"/>
        <w:ind w:left="360" w:right="0" w:firstLine="0"/>
        <w:jc w:val="both"/>
      </w:pPr>
      <w:r>
        <w:rPr>
          <w:rFonts w:ascii="Times New Roman" w:hAnsi="Times New Roman" w:eastAsia="Times New Roman" w:cs="Times New Roman"/>
          <w:b/>
          <w:sz w:val="24"/>
        </w:rPr>
        <w:t>Attachments</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CHART, FIRST DAY AFFIDAVIT.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[organizational chart, first day affidavit]</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OFFICERS, DIRECTORS AND MANAGEMENT OF DEBTORS.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[list of officers, directors and management of debtors]</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 BONDS AND SURETY BONDS.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[performance bonds and surety bonds]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