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Court Petition: Civil Fraud Case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United States Tax Court</w:t>
      </w:r>
    </w:p>
    <w:p>
      <w:pPr>
        <w:keepNext w:val="0"/>
        <w:spacing w:before="120" w:after="0" w:line="260" w:lineRule="exact"/>
        <w:ind w:left="360" w:right="0" w:firstLine="0"/>
        <w:jc w:val="left"/>
      </w:pPr>
      <w:r>
        <w:rPr>
          <w:rFonts w:ascii="Times New Roman" w:hAnsi="Times New Roman" w:eastAsia="Times New Roman" w:cs="Times New Roman"/>
          <w:b/>
          <w:sz w:val="24"/>
        </w:rPr>
        <w:t>PETITION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Petitioners, by their attorneys, [Name of Firm], hereby petition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redetermination of the deficiencies in tax set forth by the Commissioner of Internal Revenue (the “Commissioner”) in his notice of deficiency dated [Date], and as the basis for their case, petitioners allege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Petitioners [Taxpayer Husband] and [Taxpayer Wife] are husband and wife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[Address]. Petitioner [Taxpayer Husband’s] taxpayer identification number is [Social Security Number of Other Tax Id Number], and petitioner [Taxpayer Wife’s] taxpayer identification number is [Social Security Number of Other Tax Id Number].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notice of deficiency dated [Date], relating to taxable years [tax years], was issued to petitioners by Appeals Office of the Internal Revenue Service located in [location of Appeals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deficiency (including the statements and schedules accompanying the notice) is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deficiencies determined by the Commissioner are in personal income tax for taxable years [tax years]. The amounts of the deficiencies, and the penalties asserted by the Commissioner, are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All of the deficiencies in tax and penalties are in dispute.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determinations of tax set forth in the notice of deficiency for taxable years [tax years], are based on the following errors: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petitioners received constructive dividends from [Corporation Name] (the “Corporation”) in the amounts of [amounts], in [tax years],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reducing petitioners’ itemized deductions by the amounts of [amounts] for [tax years],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petitioners are liable for penalties for fraud under Internal Revenue Code (the “Code”) Section 6663 for [tax years].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issuing the notice of deficiency to petitioners after the statutes of limitation on assessment and collection had expired with respect to their personal income tax returns for [tax years].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issuing the notice of deficiency to petitioner [Taxpayer Wife] because she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innocent spouse for [tax years] under Section 6015 of the Internal Revenue Code (the “Code”).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Among the facts that petitioners rely upon as the basis for their case for [tax years] are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Petitioners did not receive constructive dividends from the Corporation based on alleged personal expenses purportedly paid on their behalf, and they are not required to report additional income therefore in [tax years].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Petitioners properly reported their itemized deductions in [tax years], and the Commissioner incorrectly reduced petitioners’ itemized deductions for these years.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Petitioners are not liable for penalties for fraud under Section 6663 for [tax years], because there are no underpayments in tax due to fraud on their tax returns for these years.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statute of limitations for assessment has expired with respect to petitioners’ tax returns for [tax years], and therefore the Commissioner improperly issued the notice of deficiency to petitioners.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any of the disputed determinations in the Commissioner’s notice of deficiency are sustained, petitioner [Taxpayer Wife] is not responsible for any liabilities arising therefrom because she qualifies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innocent spouse for [tax years] under Section 6015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WHEREFORE, petitioners pray that the Court may hear the proceedings and determine that there are no deficiencies in tax and penalties due from petitioners for taxable years [tax years], and grant such other and further relief as the Court may deem just and proper.</w:t>
      </w:r>
    </w:p>
    <w:p>
      <w:pPr>
        <w:keepNext w:val="0"/>
        <w:spacing w:before="200" w:after="0" w:line="260" w:lineRule="exact"/>
        <w:ind w:left="720" w:right="0" w:firstLine="0"/>
        <w:jc w:val="both"/>
      </w:pPr>
      <w:r>
        <w:rPr>
          <w:rFonts w:ascii="Times New Roman" w:hAnsi="Times New Roman" w:eastAsia="Times New Roman" w:cs="Times New Roman"/>
          <w:b w:val="0"/>
          <w:sz w:val="24"/>
        </w:rPr>
        <w:t>Dated: [City], [State]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[Law Firm]</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 [Attorney Name]</w:t>
      </w:r>
    </w:p>
    <w:p>
      <w:pPr>
        <w:keepNext w:val="0"/>
        <w:spacing w:before="120" w:after="0" w:line="260" w:lineRule="exact"/>
        <w:ind w:left="720" w:right="0" w:firstLine="0"/>
        <w:jc w:val="left"/>
      </w:pPr>
      <w:r>
        <w:rPr>
          <w:rFonts w:ascii="Times New Roman" w:hAnsi="Times New Roman" w:eastAsia="Times New Roman" w:cs="Times New Roman"/>
          <w:b w:val="0"/>
          <w:sz w:val="24"/>
        </w:rPr>
        <w:t>T.C. Bar No.: [Bar No.]</w:t>
      </w:r>
    </w:p>
    <w:p>
      <w:pPr>
        <w:keepNext w:val="0"/>
        <w:spacing w:before="120" w:after="0" w:line="260" w:lineRule="exact"/>
        <w:ind w:left="72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[Telephone No.]</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