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Tax Court Petition: Multiple Tax Years</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sz w:val="24"/>
        </w:rPr>
        <w:t>UNITED STATES TAX COURT</w:t>
      </w:r>
    </w:p>
    <w:p>
      <w:pPr>
        <w:keepNext w:val="0"/>
        <w:spacing w:before="120" w:after="0" w:line="260" w:lineRule="exact"/>
        <w:ind w:left="360" w:right="0" w:firstLine="0"/>
        <w:jc w:val="left"/>
      </w:pPr>
      <w:r>
        <w:rPr>
          <w:rFonts w:ascii="Times New Roman" w:hAnsi="Times New Roman" w:eastAsia="Times New Roman" w:cs="Times New Roman"/>
          <w:b/>
          <w:sz w:val="24"/>
        </w:rPr>
        <w:t>PETITION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Petitioner ABC Corporation, Inc., by its attorneys, Kostelanetz &amp; Fink, LLP hereby petitions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redetermination of the deficiencies in tax set forth by the Commissioner of Internal Revenue (the “Commissioner”) in two notices of deficiency dated December 29, XXXX, and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basis for its case petitioner alleges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Petitioner ABC Corporation, Inc. (the “Corporation”)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organized under the laws of the State of New York with its principal place of business at 1000 Main Street, New York, New York 10000. Petitioner's employer identification number is XX-XXXXXXX.</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Two notices of deficiency dated December 29, 20XX were issued to petitioner by the Manhattan District Director of the Internal Revenue Service.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notice of deficiency (including the statements and schedules accompanying the notice) relating to taxable years ending December 31, 20XX and 20XX is annexed hereto as 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notice of deficiency (including the statements and schedules accompanying the notice) relating to taxable year ending December 31, 20XX is attached hereto as Exhibit B.</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deficiencies determined by the Commissioner are in corporation income tax for taxable years ending December 31, 20XX, 20XX, and 20XX. The amounts of the deficiencies, and the penalties asserted by the Commissioner, are as follows:</w:t>
      </w:r>
    </w:p>
    <w:p>
      <w:pPr>
        <w:keepNext w:val="0"/>
        <w:spacing w:before="200" w:after="0" w:line="260" w:lineRule="exact"/>
        <w:ind w:left="1080" w:right="0" w:firstLine="0"/>
        <w:jc w:val="both"/>
      </w:pPr>
      <w:r>
        <w:rPr>
          <w:rFonts w:ascii="Times New Roman" w:hAnsi="Times New Roman" w:eastAsia="Times New Roman" w:cs="Times New Roman"/>
          <w:b w:val="0"/>
          <w:sz w:val="24"/>
        </w:rPr>
        <w:t>The entire amount of these deficiencies and penalties is in dispute.</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determinations of tax and penalties set forth in the notices of deficiency for the taxable years ending December 31, 20XX, 20XX and 20XX are based on the following errors: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Commissioner erred in determining that the petitioner has additional income attributable to additional gross receipts in amounts alleged as follows: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Commissioner erred in determining that the petitioner has additional income attributable to the Commissioner's erroneous disallowance of the cost of goods sold in amounts alleged as follows:</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Commissioner erred in determining that the petitioner has additional income attributable to the Commissioner's erroneous disallowance of the automobile expenses of petitioner in amounts alleged as follows:</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Commissioner erred in determining that the petitioner has additional income attributable to the Commissioner's erroneous disallowance of the meals and entertainment expenses of petitioner in amounts alleged as follows:</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Commissioner erred in determining that the petitioner has additional income in 20XX in the amount of $3,XXX attributable to the Commissioner's erroneous disallowance of the petty cash expenses of petitioner.</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Commissioner erred in determining that the petitioner has additional income in 20XX in the amount of $2,XXX attributable to the Commissioner's erroneous disallowance of the office expenses of petitioner.</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Commissioner erred in determining that the petitioner has additional income in 19XX in the amount of $1,XXX attributable to the Commissioner's erroneous disallowance of the utility expenses of petitioner.</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Commissioner erred in determining that the petitioner has additional income in 20XX in the amount of $1,XXX attributable to the Commissioner's erroneous disallowance of the telephone expenses of petitioner.</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Commissioner erred in determining that petitioner is liable for penalties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substantial understatement of income tax and/or negligence or disregard of rules and regulations, pursuant to Sections 6662(</w:t>
      </w:r>
      <w:r>
        <w:rPr>
          <w:rFonts w:ascii="Times New Roman" w:hAnsi="Times New Roman" w:eastAsia="Times New Roman" w:cs="Times New Roman"/>
          <w:b/>
          <w:sz w:val="24"/>
        </w:rPr>
        <w:t>a</w:t>
      </w:r>
      <w:r>
        <w:rPr>
          <w:rFonts w:ascii="Times New Roman" w:hAnsi="Times New Roman" w:eastAsia="Times New Roman" w:cs="Times New Roman"/>
          <w:b w:val="0"/>
          <w:sz w:val="24"/>
        </w:rPr>
        <w:t>), (b) or (c) of the Code in the following amounts:</w:t>
      </w:r>
    </w:p>
    <w:p>
      <w:pPr>
        <w:keepNext w:val="0"/>
        <w:spacing w:before="120" w:after="0" w:line="260" w:lineRule="exact"/>
        <w:ind w:left="1440" w:right="0" w:firstLine="0"/>
        <w:jc w:val="left"/>
      </w:pPr>
      <w:r>
        <w:rPr>
          <w:rFonts w:ascii="Times New Roman" w:hAnsi="Times New Roman" w:eastAsia="Times New Roman" w:cs="Times New Roman"/>
          <w:b w:val="0"/>
          <w:sz w:val="24"/>
        </w:rPr>
        <w:t>(j)</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commissioner erred in issuing the notice of deficiency to petitioner because, upon information and belief, the statute of limitations for assessment and collection for 20XX had expired.</w:t>
      </w:r>
    </w:p>
    <w:p>
      <w:pPr>
        <w:keepNext w:val="0"/>
        <w:spacing w:before="120" w:after="0" w:line="260" w:lineRule="exact"/>
        <w:ind w:left="1440" w:right="0" w:firstLine="0"/>
        <w:jc w:val="left"/>
      </w:pPr>
      <w:r>
        <w:rPr>
          <w:rFonts w:ascii="Times New Roman" w:hAnsi="Times New Roman" w:eastAsia="Times New Roman" w:cs="Times New Roman"/>
          <w:b w:val="0"/>
          <w:sz w:val="24"/>
        </w:rPr>
        <w:t>(k)</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Commissioner erred in issuing the notice of deficiency to petitioner because, upon information and belief, the statute of limitations for assessment and collection for 20XX had expired.</w:t>
      </w:r>
    </w:p>
    <w:p>
      <w:pPr>
        <w:keepNext w:val="0"/>
        <w:spacing w:before="120" w:after="0" w:line="260" w:lineRule="exact"/>
        <w:ind w:left="1080" w:right="0" w:firstLine="0"/>
        <w:jc w:val="left"/>
      </w:pPr>
      <w:r>
        <w:rPr>
          <w:rFonts w:ascii="Times New Roman" w:hAnsi="Times New Roman" w:eastAsia="Times New Roman" w:cs="Times New Roman"/>
          <w:b w:val="0"/>
          <w:sz w:val="24"/>
        </w:rPr>
        <w:t>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Among the facts that petitioner relies upon as the bases for its case for 20XX, 20XX and 20XX are the following:</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Petitioner properly reported income from gross receipts in the years 20XX, 20XX, and 20XX, and the amounts properly reported by petitioner correctly did not include amounts as follows, which the Commissioner erroneously determined to constitute additional income: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Petitioner properly deducted cost of goods sold in sums which correctly included the following amounts, and petitioner therefore does not have additional income attributable to these items:</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Petitioner properly deducted,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ordinary and necessary business expense under Section 162 of the Code, automobile expenses in sums which correctly included the following amounts, and petitioner therefore does not have additional income attributable to these items:</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Commissioner erred in determining that the petitioner has additional income attributable to the Commissioner’s erroneous disallowance of the meals and entertainment expenses of petitioner in amounts alleged as follows:</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Petitioner properly deducted,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ordinary and necessary business expense under Section 162 of the Code, petty cash expenses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sum which correctly included the amount of $3,XXX for 20XX and petitioner therefore does not have additional income attributable to this item.</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Petitioner properly deducted,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ordinary and necessary business expense under Section 162 of the Code, office expenses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sum which correctly included the amount of $2,XXX for 20XX and petitioner therefore does not have additional income attributable to this item.</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Petitioner properly deducted,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ordinary and necessary business expense under Section 162 of the Code, utility expenses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sum which correctly included the amount of $1,XXX for 20XX and petitioner therefore does not have additional income attributable to this item.</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Petitioner properly deducted,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ordinary and necessary business expense under Section 162 of the Code, telephone expenses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sum which correctly included the amount of $1,XXX for 20XX and petitioner therefore does not have additional income attributable to this item.</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Petitioner properly reported income and deducted expenses in 20XX, 20XX and 20XX and is not liable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deficiency in tax. Consequently, petitioner is not liable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accuracy related penalty under Section 6662(</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of the Code. Alternatively, petitioner is not liable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penalty under Section 6662(</w:t>
      </w:r>
      <w:r>
        <w:rPr>
          <w:rFonts w:ascii="Times New Roman" w:hAnsi="Times New Roman" w:eastAsia="Times New Roman" w:cs="Times New Roman"/>
          <w:b/>
          <w:sz w:val="24"/>
        </w:rPr>
        <w:t>a</w:t>
      </w:r>
      <w:r>
        <w:rPr>
          <w:rFonts w:ascii="Times New Roman" w:hAnsi="Times New Roman" w:eastAsia="Times New Roman" w:cs="Times New Roman"/>
          <w:b w:val="0"/>
          <w:sz w:val="24"/>
        </w:rPr>
        <w:t>) because any underpayment that may exist with respect to petitioner's returns is not attributable to (i) negligence or disregard of rules or regulations, (ii) any substantial understatement of income tax, or (iii) any substantial valuation overstatement.</w:t>
      </w:r>
    </w:p>
    <w:p>
      <w:pPr>
        <w:keepNext w:val="0"/>
        <w:spacing w:before="120" w:after="0" w:line="260" w:lineRule="exact"/>
        <w:ind w:left="1440" w:right="0" w:firstLine="0"/>
        <w:jc w:val="left"/>
      </w:pPr>
      <w:r>
        <w:rPr>
          <w:rFonts w:ascii="Times New Roman" w:hAnsi="Times New Roman" w:eastAsia="Times New Roman" w:cs="Times New Roman"/>
          <w:b w:val="0"/>
          <w:sz w:val="24"/>
        </w:rPr>
        <w:t>(j)</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Upon information and belief, petitioner filed its tax return for 20XX prior to December 29, 20XX, and therefore the issuance of the notice of deficiency for 20XX to petitioner was barred by the statute of limitations.</w:t>
      </w:r>
    </w:p>
    <w:p>
      <w:pPr>
        <w:keepNext w:val="0"/>
        <w:spacing w:before="120" w:after="0" w:line="260" w:lineRule="exact"/>
        <w:ind w:left="1440" w:right="0" w:firstLine="0"/>
        <w:jc w:val="left"/>
      </w:pPr>
      <w:r>
        <w:rPr>
          <w:rFonts w:ascii="Times New Roman" w:hAnsi="Times New Roman" w:eastAsia="Times New Roman" w:cs="Times New Roman"/>
          <w:b w:val="0"/>
          <w:sz w:val="24"/>
        </w:rPr>
        <w:t>(k)</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Upon information and belief, petitioner filed its tax return for 20XX prior to December 29, 20XX, and therefore the issuance of the notice of deficiency for 20XX to petitioner was barred by the statute of limitations.</w:t>
      </w:r>
    </w:p>
    <w:p>
      <w:pPr>
        <w:keepNext w:val="0"/>
        <w:spacing w:before="200" w:after="0" w:line="260" w:lineRule="exact"/>
        <w:ind w:left="720" w:right="0" w:firstLine="0"/>
        <w:jc w:val="both"/>
      </w:pPr>
      <w:r>
        <w:rPr>
          <w:rFonts w:ascii="Times New Roman" w:hAnsi="Times New Roman" w:eastAsia="Times New Roman" w:cs="Times New Roman"/>
          <w:b w:val="0"/>
          <w:sz w:val="24"/>
        </w:rPr>
        <w:t>WHEREFORE, petitioner prays that this Court may hear this proceeding and determine that there is no deficiency in tax due from petitioner for the years ending December 31, 20XX, 20XX and 20XX, and give such other and further relief as the Court may deem just and proper.</w:t>
      </w:r>
    </w:p>
    <w:p>
      <w:pPr/>
    </w:p>
    <w:p>
      <w:pPr>
        <w:keepNext w:val="0"/>
        <w:spacing w:before="200" w:after="0" w:line="260" w:lineRule="exact"/>
        <w:ind w:left="360" w:right="0" w:firstLine="0"/>
        <w:jc w:val="both"/>
      </w:pPr>
      <w:r>
        <w:rPr>
          <w:rFonts w:ascii="Times New Roman" w:hAnsi="Times New Roman" w:eastAsia="Times New Roman" w:cs="Times New Roman"/>
          <w:b w:val="0"/>
          <w:sz w:val="24"/>
        </w:rPr>
        <w:t>Dated: New York, New York</w:t>
      </w:r>
    </w:p>
    <w:p>
      <w:pPr>
        <w:keepNext w:val="0"/>
        <w:spacing w:before="60" w:after="0" w:line="260" w:lineRule="exact"/>
        <w:ind w:left="360" w:right="0" w:firstLine="0"/>
        <w:jc w:val="both"/>
      </w:pPr>
      <w:r>
        <w:rPr>
          <w:rFonts w:ascii="Times New Roman" w:hAnsi="Times New Roman" w:eastAsia="Times New Roman" w:cs="Times New Roman"/>
          <w:b w:val="0"/>
          <w:sz w:val="24"/>
        </w:rPr>
        <w:t>March 24, 20XX</w:t>
      </w:r>
    </w:p>
    <w:p>
      <w:pPr>
        <w:keepNext w:val="0"/>
        <w:spacing w:before="120" w:after="0" w:line="260" w:lineRule="exact"/>
        <w:ind w:left="360" w:right="0" w:firstLine="0"/>
        <w:jc w:val="left"/>
      </w:pPr>
      <w:r>
        <w:rPr>
          <w:rFonts w:ascii="Times New Roman" w:hAnsi="Times New Roman" w:eastAsia="Times New Roman" w:cs="Times New Roman"/>
          <w:b w:val="0"/>
          <w:sz w:val="24"/>
        </w:rPr>
        <w:t>Respectfully submitted,</w:t>
      </w:r>
    </w:p>
    <w:p>
      <w:pPr>
        <w:keepNext w:val="0"/>
        <w:spacing w:before="120" w:after="0" w:line="260" w:lineRule="exact"/>
        <w:ind w:left="360" w:right="0" w:firstLine="0"/>
        <w:jc w:val="left"/>
      </w:pPr>
      <w:r>
        <w:rPr>
          <w:rFonts w:ascii="Times New Roman" w:hAnsi="Times New Roman" w:eastAsia="Times New Roman" w:cs="Times New Roman"/>
          <w:b w:val="0"/>
          <w:sz w:val="24"/>
        </w:rPr>
        <w:t>KOSTELANETZ &amp; FINK, LLP</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Attorney</w:t>
      </w:r>
    </w:p>
    <w:p>
      <w:pPr>
        <w:keepNext w:val="0"/>
        <w:spacing w:before="120" w:after="0" w:line="260" w:lineRule="exact"/>
        <w:ind w:left="360" w:right="0" w:firstLine="0"/>
        <w:jc w:val="left"/>
      </w:pPr>
      <w:r>
        <w:rPr>
          <w:rFonts w:ascii="Times New Roman" w:hAnsi="Times New Roman" w:eastAsia="Times New Roman" w:cs="Times New Roman"/>
          <w:b w:val="0"/>
          <w:sz w:val="24"/>
        </w:rPr>
        <w:t>T.C. Bar No.</w:t>
      </w:r>
    </w:p>
    <w:p>
      <w:pPr>
        <w:keepNext w:val="0"/>
        <w:spacing w:before="120" w:after="0" w:line="260" w:lineRule="exact"/>
        <w:ind w:left="360" w:right="0" w:firstLine="0"/>
        <w:jc w:val="left"/>
      </w:pPr>
      <w:r>
        <w:rPr>
          <w:rFonts w:ascii="Times New Roman" w:hAnsi="Times New Roman" w:eastAsia="Times New Roman" w:cs="Times New Roman"/>
          <w:b w:val="0"/>
          <w:sz w:val="24"/>
        </w:rPr>
        <w:t>530 Fifth Avenue</w:t>
      </w:r>
    </w:p>
    <w:p>
      <w:pPr>
        <w:keepNext w:val="0"/>
        <w:spacing w:before="120" w:after="0" w:line="260" w:lineRule="exact"/>
        <w:ind w:left="360" w:right="0" w:firstLine="0"/>
        <w:jc w:val="left"/>
      </w:pPr>
      <w:r>
        <w:rPr>
          <w:rFonts w:ascii="Times New Roman" w:hAnsi="Times New Roman" w:eastAsia="Times New Roman" w:cs="Times New Roman"/>
          <w:b w:val="0"/>
          <w:sz w:val="24"/>
        </w:rPr>
        <w:t>New York, New York 10036</w:t>
      </w:r>
    </w:p>
    <w:p>
      <w:pPr>
        <w:keepNext w:val="0"/>
        <w:spacing w:before="120" w:after="0" w:line="260" w:lineRule="exact"/>
        <w:ind w:left="360" w:right="0" w:firstLine="0"/>
        <w:jc w:val="left"/>
      </w:pPr>
      <w:r>
        <w:rPr>
          <w:rFonts w:ascii="Times New Roman" w:hAnsi="Times New Roman" w:eastAsia="Times New Roman" w:cs="Times New Roman"/>
          <w:b w:val="0"/>
          <w:sz w:val="24"/>
        </w:rPr>
        <w:t>Tel: (212) 808-8100</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